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F61" w:rsidRPr="00AB0246" w:rsidRDefault="000B2F61" w:rsidP="00AB02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5277467"/>
      <w:r w:rsidRPr="00AB0246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:rsidR="000B2F61" w:rsidRDefault="000B2F61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 w:rsidR="00666AC9"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:rsidR="00E03F40" w:rsidRDefault="00E03F40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Studentska ulica 2</w:t>
      </w:r>
    </w:p>
    <w:p w:rsidR="00E03F40" w:rsidRPr="001A5B94" w:rsidRDefault="00E03F40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Rijeka</w:t>
      </w:r>
    </w:p>
    <w:p w:rsidR="000B2F61" w:rsidRDefault="000B2F61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:rsidR="00666AC9" w:rsidRPr="001A5B94" w:rsidRDefault="00666AC9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E03F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bookmarkEnd w:id="0"/>
    <w:p w:rsidR="000B2F61" w:rsidRPr="001A5B94" w:rsidRDefault="000B2F61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F40" w:rsidRDefault="00E03F40" w:rsidP="000B2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B2F61" w:rsidRPr="001A5B94" w:rsidRDefault="000B2F61" w:rsidP="000B2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Obrazloženje </w:t>
      </w:r>
      <w:r w:rsidR="00F138F6">
        <w:rPr>
          <w:rFonts w:ascii="Times New Roman" w:eastAsia="Calibri" w:hAnsi="Times New Roman" w:cs="Times New Roman"/>
          <w:b/>
          <w:sz w:val="32"/>
          <w:szCs w:val="32"/>
        </w:rPr>
        <w:t xml:space="preserve">izvršenja </w:t>
      </w:r>
      <w:r w:rsidR="00666AC9">
        <w:rPr>
          <w:rFonts w:ascii="Times New Roman" w:eastAsia="Calibri" w:hAnsi="Times New Roman" w:cs="Times New Roman"/>
          <w:b/>
          <w:sz w:val="32"/>
          <w:szCs w:val="32"/>
        </w:rPr>
        <w:t>Posebnog dijela</w:t>
      </w:r>
      <w:bookmarkStart w:id="1" w:name="_Hlk115277485"/>
      <w:r w:rsidR="0025736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96F68">
        <w:rPr>
          <w:rFonts w:ascii="Times New Roman" w:eastAsia="Calibri" w:hAnsi="Times New Roman" w:cs="Times New Roman"/>
          <w:b/>
          <w:sz w:val="32"/>
          <w:szCs w:val="32"/>
        </w:rPr>
        <w:t>f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>inancijskog plana za 202</w:t>
      </w:r>
      <w:r w:rsidR="005A0ABE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>. godin</w:t>
      </w:r>
      <w:r w:rsidR="0025736E">
        <w:rPr>
          <w:rFonts w:ascii="Times New Roman" w:eastAsia="Calibri" w:hAnsi="Times New Roman" w:cs="Times New Roman"/>
          <w:b/>
          <w:sz w:val="32"/>
          <w:szCs w:val="32"/>
        </w:rPr>
        <w:t>u</w:t>
      </w:r>
    </w:p>
    <w:bookmarkEnd w:id="1"/>
    <w:p w:rsidR="00EF05CF" w:rsidRPr="001A5B94" w:rsidRDefault="00EF05CF">
      <w:pPr>
        <w:rPr>
          <w:rFonts w:ascii="Times New Roman" w:hAnsi="Times New Roman" w:cs="Times New Roman"/>
          <w:sz w:val="24"/>
          <w:szCs w:val="24"/>
        </w:rPr>
      </w:pPr>
    </w:p>
    <w:p w:rsidR="00F815A6" w:rsidRPr="001A5B94" w:rsidRDefault="003C3F23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53745816"/>
      <w:r w:rsidRPr="001A5B94">
        <w:rPr>
          <w:rFonts w:ascii="Times New Roman" w:hAnsi="Times New Roman" w:cs="Times New Roman"/>
          <w:b/>
          <w:sz w:val="28"/>
          <w:szCs w:val="28"/>
        </w:rPr>
        <w:t>A621002 Redovna djelatnost Sveučilišta u Rijeci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784427" w:rsidRPr="001A5B94" w:rsidTr="00C45954">
        <w:tc>
          <w:tcPr>
            <w:tcW w:w="1643" w:type="dxa"/>
            <w:shd w:val="clear" w:color="auto" w:fill="D0CECE" w:themeFill="background2" w:themeFillShade="E6"/>
          </w:tcPr>
          <w:p w:rsidR="00F815A6" w:rsidRPr="001A5B94" w:rsidRDefault="00F815A6" w:rsidP="00333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3745889"/>
            <w:bookmarkEnd w:id="2"/>
          </w:p>
          <w:p w:rsidR="00F815A6" w:rsidRPr="001A5B94" w:rsidRDefault="00F815A6" w:rsidP="00333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F815A6" w:rsidRPr="001A5B94" w:rsidRDefault="00F815A6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C16900" w:rsidRPr="001A5B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0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F815A6" w:rsidRPr="001A5B94" w:rsidRDefault="00C16900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A0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F815A6" w:rsidRPr="001A5B94" w:rsidRDefault="006D02E2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="00F815A6"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900" w:rsidRPr="001A5B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0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15A6"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F815A6" w:rsidRPr="001A5B94" w:rsidRDefault="00390036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5A0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F815A6" w:rsidRPr="001A5B94" w:rsidRDefault="00390036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F815A6" w:rsidRDefault="00F815A6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:rsidR="00390036" w:rsidRPr="00390036" w:rsidRDefault="00390036" w:rsidP="0033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390036" w:rsidRPr="001A5B94" w:rsidTr="00415937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90036" w:rsidRPr="001A5B94" w:rsidTr="00415937">
        <w:tc>
          <w:tcPr>
            <w:tcW w:w="1643" w:type="dxa"/>
          </w:tcPr>
          <w:p w:rsidR="00390036" w:rsidRPr="001A5B94" w:rsidRDefault="00390036" w:rsidP="003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A621002</w:t>
            </w:r>
          </w:p>
        </w:tc>
        <w:tc>
          <w:tcPr>
            <w:tcW w:w="1251" w:type="dxa"/>
          </w:tcPr>
          <w:p w:rsidR="00390036" w:rsidRPr="001A5B94" w:rsidRDefault="00273530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3.381.883</w:t>
            </w:r>
          </w:p>
        </w:tc>
        <w:tc>
          <w:tcPr>
            <w:tcW w:w="1251" w:type="dxa"/>
          </w:tcPr>
          <w:p w:rsidR="00390036" w:rsidRPr="001A5B94" w:rsidRDefault="00273530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3.539.826</w:t>
            </w:r>
          </w:p>
        </w:tc>
        <w:tc>
          <w:tcPr>
            <w:tcW w:w="1251" w:type="dxa"/>
          </w:tcPr>
          <w:p w:rsidR="00390036" w:rsidRPr="001A5B94" w:rsidRDefault="00273530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4.063.570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390036" w:rsidRPr="00415937" w:rsidRDefault="00273530" w:rsidP="003900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4.064.949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390036" w:rsidRPr="00415937" w:rsidRDefault="00B644EE" w:rsidP="003900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390036" w:rsidRPr="00415937" w:rsidRDefault="00B644EE" w:rsidP="003900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bookmarkEnd w:id="3"/>
    </w:tbl>
    <w:p w:rsidR="006D02E2" w:rsidRDefault="006D02E2" w:rsidP="00415937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937" w:rsidRPr="006D02E2" w:rsidRDefault="00415937" w:rsidP="00415937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ove aktivnosti izvršavaju se plaće i materijalna prava zaposlenih na teret državnog proračuna</w:t>
      </w:r>
      <w:r w:rsidR="007D53BD">
        <w:rPr>
          <w:rFonts w:ascii="Times New Roman" w:hAnsi="Times New Roman" w:cs="Times New Roman"/>
          <w:sz w:val="24"/>
          <w:szCs w:val="24"/>
        </w:rPr>
        <w:t xml:space="preserve">. Rashodi za zaposlene izvršeni su u iznosu </w:t>
      </w:r>
      <w:r w:rsidR="008C73DF">
        <w:rPr>
          <w:rFonts w:ascii="Times New Roman" w:hAnsi="Times New Roman" w:cs="Times New Roman"/>
          <w:sz w:val="24"/>
          <w:szCs w:val="24"/>
        </w:rPr>
        <w:t>4.064.950</w:t>
      </w:r>
      <w:r w:rsidR="007D53BD">
        <w:rPr>
          <w:rFonts w:ascii="Times New Roman" w:hAnsi="Times New Roman" w:cs="Times New Roman"/>
          <w:sz w:val="24"/>
          <w:szCs w:val="24"/>
        </w:rPr>
        <w:t xml:space="preserve"> </w:t>
      </w:r>
      <w:r w:rsidR="0028769D">
        <w:rPr>
          <w:rFonts w:ascii="Times New Roman" w:hAnsi="Times New Roman" w:cs="Times New Roman"/>
          <w:sz w:val="24"/>
          <w:szCs w:val="24"/>
        </w:rPr>
        <w:t>EUR</w:t>
      </w:r>
      <w:r w:rsidR="0094410C">
        <w:rPr>
          <w:rFonts w:ascii="Times New Roman" w:hAnsi="Times New Roman" w:cs="Times New Roman"/>
          <w:sz w:val="24"/>
          <w:szCs w:val="24"/>
        </w:rPr>
        <w:t xml:space="preserve">, </w:t>
      </w:r>
      <w:r w:rsidR="007D53BD">
        <w:rPr>
          <w:rFonts w:ascii="Times New Roman" w:hAnsi="Times New Roman" w:cs="Times New Roman"/>
          <w:sz w:val="24"/>
          <w:szCs w:val="24"/>
        </w:rPr>
        <w:t xml:space="preserve">dok materijalna prava  zaposlenih (naknade za prijevoz) </w:t>
      </w:r>
      <w:r w:rsidR="0094410C">
        <w:rPr>
          <w:rFonts w:ascii="Times New Roman" w:hAnsi="Times New Roman" w:cs="Times New Roman"/>
          <w:sz w:val="24"/>
          <w:szCs w:val="24"/>
        </w:rPr>
        <w:t>iznose</w:t>
      </w:r>
      <w:r w:rsidR="007D53BD">
        <w:rPr>
          <w:rFonts w:ascii="Times New Roman" w:hAnsi="Times New Roman" w:cs="Times New Roman"/>
          <w:sz w:val="24"/>
          <w:szCs w:val="24"/>
        </w:rPr>
        <w:t xml:space="preserve"> </w:t>
      </w:r>
      <w:r w:rsidR="008C73DF">
        <w:rPr>
          <w:rFonts w:ascii="Times New Roman" w:hAnsi="Times New Roman" w:cs="Times New Roman"/>
          <w:sz w:val="24"/>
          <w:szCs w:val="24"/>
        </w:rPr>
        <w:t>59.573</w:t>
      </w:r>
      <w:r w:rsidR="007D53BD">
        <w:rPr>
          <w:rFonts w:ascii="Times New Roman" w:hAnsi="Times New Roman" w:cs="Times New Roman"/>
          <w:sz w:val="24"/>
          <w:szCs w:val="24"/>
        </w:rPr>
        <w:t xml:space="preserve"> </w:t>
      </w:r>
      <w:r w:rsidR="0028769D">
        <w:rPr>
          <w:rFonts w:ascii="Times New Roman" w:hAnsi="Times New Roman" w:cs="Times New Roman"/>
          <w:sz w:val="24"/>
          <w:szCs w:val="24"/>
        </w:rPr>
        <w:t>EUR</w:t>
      </w:r>
      <w:r w:rsidR="007D53BD">
        <w:rPr>
          <w:rFonts w:ascii="Times New Roman" w:hAnsi="Times New Roman" w:cs="Times New Roman"/>
          <w:sz w:val="24"/>
          <w:szCs w:val="24"/>
        </w:rPr>
        <w:t>. Na teret državnog proračuna na dan 31.12.202</w:t>
      </w:r>
      <w:r w:rsidR="008C73DF">
        <w:rPr>
          <w:rFonts w:ascii="Times New Roman" w:hAnsi="Times New Roman" w:cs="Times New Roman"/>
          <w:sz w:val="24"/>
          <w:szCs w:val="24"/>
        </w:rPr>
        <w:t>4</w:t>
      </w:r>
      <w:r w:rsidR="007D53BD">
        <w:rPr>
          <w:rFonts w:ascii="Times New Roman" w:hAnsi="Times New Roman" w:cs="Times New Roman"/>
          <w:sz w:val="24"/>
          <w:szCs w:val="24"/>
        </w:rPr>
        <w:t xml:space="preserve">. </w:t>
      </w:r>
      <w:r w:rsidR="007D53BD" w:rsidRPr="00AD3750">
        <w:rPr>
          <w:rFonts w:ascii="Times New Roman" w:hAnsi="Times New Roman" w:cs="Times New Roman"/>
          <w:sz w:val="24"/>
          <w:szCs w:val="24"/>
        </w:rPr>
        <w:t>ukupno je zaposleno</w:t>
      </w:r>
      <w:r w:rsidR="00AD3750">
        <w:rPr>
          <w:rFonts w:ascii="Times New Roman" w:hAnsi="Times New Roman" w:cs="Times New Roman"/>
          <w:sz w:val="24"/>
          <w:szCs w:val="24"/>
        </w:rPr>
        <w:t xml:space="preserve"> 10</w:t>
      </w:r>
      <w:r w:rsidR="008C73DF">
        <w:rPr>
          <w:rFonts w:ascii="Times New Roman" w:hAnsi="Times New Roman" w:cs="Times New Roman"/>
          <w:sz w:val="24"/>
          <w:szCs w:val="24"/>
        </w:rPr>
        <w:t>6</w:t>
      </w:r>
      <w:r w:rsidR="007D53BD" w:rsidRPr="00AD3750">
        <w:rPr>
          <w:rFonts w:ascii="Times New Roman" w:hAnsi="Times New Roman" w:cs="Times New Roman"/>
          <w:sz w:val="24"/>
          <w:szCs w:val="24"/>
        </w:rPr>
        <w:t xml:space="preserve"> djelatnika</w:t>
      </w:r>
      <w:r w:rsidR="007D53BD">
        <w:rPr>
          <w:rFonts w:ascii="Times New Roman" w:hAnsi="Times New Roman" w:cs="Times New Roman"/>
          <w:sz w:val="24"/>
          <w:szCs w:val="24"/>
        </w:rPr>
        <w:t>. Unutar ove aktivnosti podmiruju se troškovi za sistematske preglede zaposlenih, a u 202</w:t>
      </w:r>
      <w:r w:rsidR="008C73DF">
        <w:rPr>
          <w:rFonts w:ascii="Times New Roman" w:hAnsi="Times New Roman" w:cs="Times New Roman"/>
          <w:sz w:val="24"/>
          <w:szCs w:val="24"/>
        </w:rPr>
        <w:t>4</w:t>
      </w:r>
      <w:r w:rsidR="007D53BD">
        <w:rPr>
          <w:rFonts w:ascii="Times New Roman" w:hAnsi="Times New Roman" w:cs="Times New Roman"/>
          <w:sz w:val="24"/>
          <w:szCs w:val="24"/>
        </w:rPr>
        <w:t>. godini 4</w:t>
      </w:r>
      <w:r w:rsidR="008C73DF">
        <w:rPr>
          <w:rFonts w:ascii="Times New Roman" w:hAnsi="Times New Roman" w:cs="Times New Roman"/>
          <w:sz w:val="24"/>
          <w:szCs w:val="24"/>
        </w:rPr>
        <w:t>3</w:t>
      </w:r>
      <w:r w:rsidR="007D53BD">
        <w:rPr>
          <w:rFonts w:ascii="Times New Roman" w:hAnsi="Times New Roman" w:cs="Times New Roman"/>
          <w:sz w:val="24"/>
          <w:szCs w:val="24"/>
        </w:rPr>
        <w:t xml:space="preserve"> </w:t>
      </w:r>
      <w:r w:rsidR="008C73DF">
        <w:rPr>
          <w:rFonts w:ascii="Times New Roman" w:hAnsi="Times New Roman" w:cs="Times New Roman"/>
          <w:sz w:val="24"/>
          <w:szCs w:val="24"/>
        </w:rPr>
        <w:t>zaposlenika</w:t>
      </w:r>
      <w:r w:rsidR="007D53BD">
        <w:rPr>
          <w:rFonts w:ascii="Times New Roman" w:hAnsi="Times New Roman" w:cs="Times New Roman"/>
          <w:sz w:val="24"/>
          <w:szCs w:val="24"/>
        </w:rPr>
        <w:t xml:space="preserve"> obavi</w:t>
      </w:r>
      <w:r w:rsidR="008C73DF">
        <w:rPr>
          <w:rFonts w:ascii="Times New Roman" w:hAnsi="Times New Roman" w:cs="Times New Roman"/>
          <w:sz w:val="24"/>
          <w:szCs w:val="24"/>
        </w:rPr>
        <w:t>la</w:t>
      </w:r>
      <w:r w:rsidR="0094410C">
        <w:rPr>
          <w:rFonts w:ascii="Times New Roman" w:hAnsi="Times New Roman" w:cs="Times New Roman"/>
          <w:sz w:val="24"/>
          <w:szCs w:val="24"/>
        </w:rPr>
        <w:t xml:space="preserve"> </w:t>
      </w:r>
      <w:r w:rsidR="008C73DF">
        <w:rPr>
          <w:rFonts w:ascii="Times New Roman" w:hAnsi="Times New Roman" w:cs="Times New Roman"/>
          <w:sz w:val="24"/>
          <w:szCs w:val="24"/>
        </w:rPr>
        <w:t xml:space="preserve">su </w:t>
      </w:r>
      <w:r w:rsidR="007D53BD">
        <w:rPr>
          <w:rFonts w:ascii="Times New Roman" w:hAnsi="Times New Roman" w:cs="Times New Roman"/>
          <w:sz w:val="24"/>
          <w:szCs w:val="24"/>
        </w:rPr>
        <w:t>sistematski pregled. Naknada za kvotu za nezapošljavanje invalida u 202</w:t>
      </w:r>
      <w:r w:rsidR="008C73DF">
        <w:rPr>
          <w:rFonts w:ascii="Times New Roman" w:hAnsi="Times New Roman" w:cs="Times New Roman"/>
          <w:sz w:val="24"/>
          <w:szCs w:val="24"/>
        </w:rPr>
        <w:t>4</w:t>
      </w:r>
      <w:r w:rsidR="007D53BD">
        <w:rPr>
          <w:rFonts w:ascii="Times New Roman" w:hAnsi="Times New Roman" w:cs="Times New Roman"/>
          <w:sz w:val="24"/>
          <w:szCs w:val="24"/>
        </w:rPr>
        <w:t>. godini  plaćena</w:t>
      </w:r>
      <w:r w:rsidR="00E87E4B">
        <w:rPr>
          <w:rFonts w:ascii="Times New Roman" w:hAnsi="Times New Roman" w:cs="Times New Roman"/>
          <w:sz w:val="24"/>
          <w:szCs w:val="24"/>
        </w:rPr>
        <w:t xml:space="preserve"> je</w:t>
      </w:r>
      <w:r w:rsidR="007D53BD">
        <w:rPr>
          <w:rFonts w:ascii="Times New Roman" w:hAnsi="Times New Roman" w:cs="Times New Roman"/>
          <w:sz w:val="24"/>
          <w:szCs w:val="24"/>
        </w:rPr>
        <w:t xml:space="preserve"> u iznosu </w:t>
      </w:r>
      <w:r w:rsidR="008C73DF">
        <w:rPr>
          <w:rFonts w:ascii="Times New Roman" w:hAnsi="Times New Roman" w:cs="Times New Roman"/>
          <w:sz w:val="24"/>
          <w:szCs w:val="24"/>
        </w:rPr>
        <w:t>5.964</w:t>
      </w:r>
      <w:r w:rsidR="007D53BD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6D02E2" w:rsidRPr="001A5B94" w:rsidRDefault="006D02E2" w:rsidP="002F70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70E1" w:rsidRPr="001A5B94" w:rsidRDefault="002F70E1" w:rsidP="002F70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B94">
        <w:rPr>
          <w:rFonts w:ascii="Times New Roman" w:hAnsi="Times New Roman" w:cs="Times New Roman"/>
          <w:b/>
          <w:sz w:val="28"/>
          <w:szCs w:val="28"/>
        </w:rPr>
        <w:t>A622122 Programsko financiranje javnih visokih učilišta - Sveučilište u Rijeci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:rsidTr="00D02775">
        <w:tc>
          <w:tcPr>
            <w:tcW w:w="1643" w:type="dxa"/>
            <w:shd w:val="clear" w:color="auto" w:fill="D0CECE" w:themeFill="background2" w:themeFillShade="E6"/>
          </w:tcPr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58280995"/>
          </w:p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390036" w:rsidRPr="001A5B94" w:rsidTr="00415937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15937" w:rsidRPr="001A5B94" w:rsidTr="00415937">
        <w:tc>
          <w:tcPr>
            <w:tcW w:w="1643" w:type="dxa"/>
          </w:tcPr>
          <w:p w:rsidR="00415937" w:rsidRPr="001A5B94" w:rsidRDefault="00415937" w:rsidP="0041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1251" w:type="dxa"/>
          </w:tcPr>
          <w:p w:rsidR="00415937" w:rsidRPr="001A5B94" w:rsidRDefault="00273530" w:rsidP="00415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368.450</w:t>
            </w:r>
          </w:p>
        </w:tc>
        <w:tc>
          <w:tcPr>
            <w:tcW w:w="1251" w:type="dxa"/>
          </w:tcPr>
          <w:p w:rsidR="00415937" w:rsidRPr="001A5B94" w:rsidRDefault="00273530" w:rsidP="00415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549.281</w:t>
            </w:r>
          </w:p>
        </w:tc>
        <w:tc>
          <w:tcPr>
            <w:tcW w:w="1251" w:type="dxa"/>
          </w:tcPr>
          <w:p w:rsidR="00415937" w:rsidRPr="001A5B94" w:rsidRDefault="00273530" w:rsidP="00415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549.281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415937" w:rsidRPr="00415937" w:rsidRDefault="00273530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339.567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415937" w:rsidRPr="00415937" w:rsidRDefault="00A41D54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415937" w:rsidRPr="00415937" w:rsidRDefault="00A41D54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61,82</w:t>
            </w:r>
          </w:p>
        </w:tc>
      </w:tr>
    </w:tbl>
    <w:bookmarkEnd w:id="4"/>
    <w:p w:rsidR="006A146D" w:rsidRPr="006D02E2" w:rsidRDefault="006A146D" w:rsidP="006A146D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Niže izvršeni rashodi u odnosu na planirani rebalans financijskog plana za 2024. rezultat su toga što je Fakultet u obvezi kod planiranja pridržavati se limita rashoda od određenih strane Sveučilišta u Rijeci, dok se rashodi u ovoj aktivnosti mogu izvršavati samo u visini doznačenih sredstava</w:t>
      </w:r>
      <w:r w:rsidR="003E5C41"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5"/>
    </w:p>
    <w:p w:rsidR="00D7733C" w:rsidRPr="001A5B94" w:rsidRDefault="008A55E5" w:rsidP="00D773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3750027"/>
      <w:bookmarkStart w:id="7" w:name="_Hlk53749823"/>
      <w:r>
        <w:rPr>
          <w:rFonts w:ascii="Times New Roman" w:hAnsi="Times New Roman" w:cs="Times New Roman"/>
          <w:sz w:val="24"/>
          <w:szCs w:val="24"/>
        </w:rPr>
        <w:t>Tijekom</w:t>
      </w:r>
      <w:r w:rsidR="00D7733C" w:rsidRPr="001A5B94">
        <w:rPr>
          <w:rFonts w:ascii="Times New Roman" w:hAnsi="Times New Roman" w:cs="Times New Roman"/>
          <w:sz w:val="24"/>
          <w:szCs w:val="24"/>
        </w:rPr>
        <w:t xml:space="preserve"> </w:t>
      </w:r>
      <w:r w:rsidR="00C16900" w:rsidRPr="001A5B94">
        <w:rPr>
          <w:rFonts w:ascii="Times New Roman" w:hAnsi="Times New Roman" w:cs="Times New Roman"/>
          <w:sz w:val="24"/>
          <w:szCs w:val="24"/>
        </w:rPr>
        <w:t>202</w:t>
      </w:r>
      <w:r w:rsidR="008C73DF">
        <w:rPr>
          <w:rFonts w:ascii="Times New Roman" w:hAnsi="Times New Roman" w:cs="Times New Roman"/>
          <w:sz w:val="24"/>
          <w:szCs w:val="24"/>
        </w:rPr>
        <w:t>4</w:t>
      </w:r>
      <w:r w:rsidR="00D7733C" w:rsidRPr="001A5B94">
        <w:rPr>
          <w:rFonts w:ascii="Times New Roman" w:hAnsi="Times New Roman" w:cs="Times New Roman"/>
          <w:sz w:val="24"/>
          <w:szCs w:val="24"/>
        </w:rPr>
        <w:t xml:space="preserve">. </w:t>
      </w:r>
      <w:r w:rsidR="00863153">
        <w:rPr>
          <w:rFonts w:ascii="Times New Roman" w:hAnsi="Times New Roman" w:cs="Times New Roman"/>
          <w:sz w:val="24"/>
          <w:szCs w:val="24"/>
        </w:rPr>
        <w:t>godine</w:t>
      </w:r>
      <w:r w:rsidR="00D7733C" w:rsidRPr="001A5B94">
        <w:rPr>
          <w:rFonts w:ascii="Times New Roman" w:hAnsi="Times New Roman" w:cs="Times New Roman"/>
          <w:sz w:val="24"/>
          <w:szCs w:val="24"/>
        </w:rPr>
        <w:t xml:space="preserve"> </w:t>
      </w:r>
      <w:r w:rsidR="007D53BD">
        <w:rPr>
          <w:rFonts w:ascii="Times New Roman" w:hAnsi="Times New Roman" w:cs="Times New Roman"/>
          <w:sz w:val="24"/>
          <w:szCs w:val="24"/>
        </w:rPr>
        <w:t>sredstvima programskih ugovora izvršeno je f</w:t>
      </w:r>
      <w:r w:rsidR="00D7733C" w:rsidRPr="001A5B94">
        <w:rPr>
          <w:rFonts w:ascii="Times New Roman" w:hAnsi="Times New Roman" w:cs="Times New Roman"/>
          <w:sz w:val="24"/>
          <w:szCs w:val="24"/>
        </w:rPr>
        <w:t>inanciranje materijalnih troškova Fakulteta, kao i tekuće i investicijsko održavanje i nabava opreme za učionice i znanstveno istraživački rad, financiranje vanjske suradnje</w:t>
      </w:r>
      <w:r w:rsidR="00DD319D" w:rsidRPr="001A5B94">
        <w:rPr>
          <w:rFonts w:ascii="Times New Roman" w:hAnsi="Times New Roman" w:cs="Times New Roman"/>
          <w:sz w:val="24"/>
          <w:szCs w:val="24"/>
        </w:rPr>
        <w:t xml:space="preserve"> </w:t>
      </w:r>
      <w:r w:rsidR="00D7733C" w:rsidRPr="001A5B94">
        <w:rPr>
          <w:rFonts w:ascii="Times New Roman" w:hAnsi="Times New Roman" w:cs="Times New Roman"/>
          <w:sz w:val="24"/>
          <w:szCs w:val="24"/>
        </w:rPr>
        <w:t xml:space="preserve">i nastavak UNIRI znanstvenih potpora za financiranje specifičnih troškova znanstveno-istraživačkog rada. </w:t>
      </w:r>
    </w:p>
    <w:bookmarkEnd w:id="6"/>
    <w:p w:rsidR="00632874" w:rsidRPr="001A5B94" w:rsidRDefault="00632874" w:rsidP="00632874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B94">
        <w:rPr>
          <w:rFonts w:ascii="Times New Roman" w:hAnsi="Times New Roman" w:cs="Times New Roman"/>
          <w:i/>
          <w:sz w:val="24"/>
          <w:szCs w:val="24"/>
        </w:rPr>
        <w:t xml:space="preserve">Ova aktivnost sastoji se od sljedećih </w:t>
      </w:r>
      <w:proofErr w:type="spellStart"/>
      <w:r w:rsidRPr="001A5B94">
        <w:rPr>
          <w:rFonts w:ascii="Times New Roman" w:hAnsi="Times New Roman" w:cs="Times New Roman"/>
          <w:i/>
          <w:sz w:val="24"/>
          <w:szCs w:val="24"/>
        </w:rPr>
        <w:t>podaktivnosti</w:t>
      </w:r>
      <w:proofErr w:type="spellEnd"/>
      <w:r w:rsidRPr="001A5B94">
        <w:rPr>
          <w:rFonts w:ascii="Times New Roman" w:hAnsi="Times New Roman" w:cs="Times New Roman"/>
          <w:i/>
          <w:sz w:val="24"/>
          <w:szCs w:val="24"/>
        </w:rPr>
        <w:t>:</w:t>
      </w:r>
    </w:p>
    <w:p w:rsidR="00632874" w:rsidRPr="001A5B94" w:rsidRDefault="00632874" w:rsidP="00632874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B94">
        <w:rPr>
          <w:rFonts w:ascii="Times New Roman" w:hAnsi="Times New Roman" w:cs="Times New Roman"/>
          <w:i/>
          <w:sz w:val="24"/>
          <w:szCs w:val="24"/>
        </w:rPr>
        <w:t>Programsko financiranje namijenjeno pokriću materijalnih troškova</w:t>
      </w:r>
      <w:r w:rsidR="00C45954" w:rsidRPr="001A5B94">
        <w:rPr>
          <w:rFonts w:ascii="Times New Roman" w:hAnsi="Times New Roman" w:cs="Times New Roman"/>
          <w:i/>
          <w:sz w:val="24"/>
          <w:szCs w:val="24"/>
        </w:rPr>
        <w:t xml:space="preserve"> Fakulteta</w:t>
      </w:r>
    </w:p>
    <w:p w:rsidR="00632874" w:rsidRPr="001A5B94" w:rsidRDefault="00632874" w:rsidP="00632874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B94">
        <w:rPr>
          <w:rFonts w:ascii="Times New Roman" w:hAnsi="Times New Roman" w:cs="Times New Roman"/>
          <w:i/>
          <w:sz w:val="24"/>
          <w:szCs w:val="24"/>
        </w:rPr>
        <w:t xml:space="preserve">UNIRI </w:t>
      </w:r>
      <w:r w:rsidR="0041323D" w:rsidRPr="001A5B94">
        <w:rPr>
          <w:rFonts w:ascii="Times New Roman" w:hAnsi="Times New Roman" w:cs="Times New Roman"/>
          <w:i/>
          <w:sz w:val="24"/>
          <w:szCs w:val="24"/>
        </w:rPr>
        <w:t>potpore znanstvenim istraživanjima</w:t>
      </w:r>
    </w:p>
    <w:p w:rsidR="00010779" w:rsidRDefault="00010779" w:rsidP="00010779">
      <w:pPr>
        <w:jc w:val="both"/>
        <w:rPr>
          <w:rFonts w:ascii="Times New Roman" w:hAnsi="Times New Roman" w:cs="Times New Roman"/>
          <w:sz w:val="24"/>
          <w:szCs w:val="24"/>
        </w:rPr>
      </w:pPr>
      <w:r w:rsidRPr="007D53BD">
        <w:rPr>
          <w:rFonts w:ascii="Times New Roman" w:hAnsi="Times New Roman" w:cs="Times New Roman"/>
          <w:sz w:val="24"/>
          <w:szCs w:val="24"/>
        </w:rPr>
        <w:lastRenderedPageBreak/>
        <w:t xml:space="preserve">Sredstva programskog financiranja </w:t>
      </w:r>
      <w:r w:rsidR="007D53BD">
        <w:rPr>
          <w:rFonts w:ascii="Times New Roman" w:hAnsi="Times New Roman" w:cs="Times New Roman"/>
          <w:sz w:val="24"/>
          <w:szCs w:val="24"/>
        </w:rPr>
        <w:t>izvršena su u</w:t>
      </w:r>
      <w:r w:rsidR="009B0254">
        <w:rPr>
          <w:rFonts w:ascii="Times New Roman" w:hAnsi="Times New Roman" w:cs="Times New Roman"/>
          <w:sz w:val="24"/>
          <w:szCs w:val="24"/>
        </w:rPr>
        <w:t xml:space="preserve"> ukupnom</w:t>
      </w:r>
      <w:r w:rsidR="007D53BD">
        <w:rPr>
          <w:rFonts w:ascii="Times New Roman" w:hAnsi="Times New Roman" w:cs="Times New Roman"/>
          <w:sz w:val="24"/>
          <w:szCs w:val="24"/>
        </w:rPr>
        <w:t xml:space="preserve"> iznosu </w:t>
      </w:r>
      <w:r w:rsidRPr="007D53BD">
        <w:rPr>
          <w:rFonts w:ascii="Times New Roman" w:hAnsi="Times New Roman" w:cs="Times New Roman"/>
          <w:sz w:val="24"/>
          <w:szCs w:val="24"/>
        </w:rPr>
        <w:t xml:space="preserve"> </w:t>
      </w:r>
      <w:r w:rsidR="008C73DF">
        <w:rPr>
          <w:rFonts w:ascii="Times New Roman" w:hAnsi="Times New Roman" w:cs="Times New Roman"/>
          <w:sz w:val="24"/>
          <w:szCs w:val="24"/>
        </w:rPr>
        <w:t>336.814</w:t>
      </w:r>
      <w:r w:rsidRPr="007D53BD">
        <w:rPr>
          <w:rFonts w:ascii="Times New Roman" w:hAnsi="Times New Roman" w:cs="Times New Roman"/>
          <w:sz w:val="24"/>
          <w:szCs w:val="24"/>
        </w:rPr>
        <w:t xml:space="preserve"> </w:t>
      </w:r>
      <w:r w:rsidR="00CD6F16" w:rsidRPr="007D53BD">
        <w:rPr>
          <w:rFonts w:ascii="Times New Roman" w:hAnsi="Times New Roman" w:cs="Times New Roman"/>
          <w:sz w:val="24"/>
          <w:szCs w:val="24"/>
        </w:rPr>
        <w:t xml:space="preserve">EUR </w:t>
      </w:r>
      <w:r w:rsidRPr="007D53BD">
        <w:rPr>
          <w:rFonts w:ascii="Times New Roman" w:hAnsi="Times New Roman" w:cs="Times New Roman"/>
          <w:sz w:val="24"/>
          <w:szCs w:val="24"/>
        </w:rPr>
        <w:t>prema zaključenom programskom ugovoru</w:t>
      </w:r>
      <w:r w:rsidR="00863153" w:rsidRPr="007D53BD">
        <w:rPr>
          <w:rFonts w:ascii="Times New Roman" w:hAnsi="Times New Roman" w:cs="Times New Roman"/>
          <w:sz w:val="24"/>
          <w:szCs w:val="24"/>
        </w:rPr>
        <w:t xml:space="preserve"> i dostavljenim limitima od strane Sveučilišta u Rijeci</w:t>
      </w:r>
      <w:r w:rsidR="008C73DF">
        <w:rPr>
          <w:rFonts w:ascii="Times New Roman" w:hAnsi="Times New Roman" w:cs="Times New Roman"/>
          <w:sz w:val="24"/>
          <w:szCs w:val="24"/>
        </w:rPr>
        <w:t xml:space="preserve">, a </w:t>
      </w:r>
      <w:r w:rsidR="002632B9">
        <w:rPr>
          <w:rFonts w:ascii="Times New Roman" w:hAnsi="Times New Roman" w:cs="Times New Roman"/>
          <w:sz w:val="24"/>
          <w:szCs w:val="24"/>
        </w:rPr>
        <w:t>iskoristio se</w:t>
      </w:r>
      <w:r w:rsidR="008C73DF">
        <w:rPr>
          <w:rFonts w:ascii="Times New Roman" w:hAnsi="Times New Roman" w:cs="Times New Roman"/>
          <w:sz w:val="24"/>
          <w:szCs w:val="24"/>
        </w:rPr>
        <w:t xml:space="preserve"> </w:t>
      </w:r>
      <w:r w:rsidR="00A41D54">
        <w:rPr>
          <w:rFonts w:ascii="Times New Roman" w:hAnsi="Times New Roman" w:cs="Times New Roman"/>
          <w:sz w:val="24"/>
          <w:szCs w:val="24"/>
        </w:rPr>
        <w:t xml:space="preserve"> </w:t>
      </w:r>
      <w:r w:rsidR="008C73DF">
        <w:rPr>
          <w:rFonts w:ascii="Times New Roman" w:hAnsi="Times New Roman" w:cs="Times New Roman"/>
          <w:sz w:val="24"/>
          <w:szCs w:val="24"/>
        </w:rPr>
        <w:t xml:space="preserve">donos sredstava </w:t>
      </w:r>
      <w:r w:rsidR="00A41D54">
        <w:rPr>
          <w:rFonts w:ascii="Times New Roman" w:hAnsi="Times New Roman" w:cs="Times New Roman"/>
          <w:sz w:val="24"/>
          <w:szCs w:val="24"/>
        </w:rPr>
        <w:t xml:space="preserve">iz ovog izvora </w:t>
      </w:r>
      <w:r w:rsidR="008C73DF">
        <w:rPr>
          <w:rFonts w:ascii="Times New Roman" w:hAnsi="Times New Roman" w:cs="Times New Roman"/>
          <w:sz w:val="24"/>
          <w:szCs w:val="24"/>
        </w:rPr>
        <w:t>iz prethodne godine</w:t>
      </w:r>
      <w:r w:rsidR="009B0254">
        <w:rPr>
          <w:rFonts w:ascii="Times New Roman" w:hAnsi="Times New Roman" w:cs="Times New Roman"/>
          <w:sz w:val="24"/>
          <w:szCs w:val="24"/>
        </w:rPr>
        <w:t xml:space="preserve"> u iznosu 26.528 EUR</w:t>
      </w:r>
      <w:r w:rsidR="00863153" w:rsidRPr="007D53BD">
        <w:rPr>
          <w:rFonts w:ascii="Times New Roman" w:hAnsi="Times New Roman" w:cs="Times New Roman"/>
          <w:sz w:val="24"/>
          <w:szCs w:val="24"/>
        </w:rPr>
        <w:t>.</w:t>
      </w:r>
    </w:p>
    <w:p w:rsidR="006A146D" w:rsidRDefault="0084143A" w:rsidP="000107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potpore prema zaključenim ugovorima sa zaposlenicima Fakulteta izvršene su u iznosu 2.</w:t>
      </w:r>
      <w:r w:rsidR="008C73DF">
        <w:rPr>
          <w:rFonts w:ascii="Times New Roman" w:hAnsi="Times New Roman" w:cs="Times New Roman"/>
          <w:sz w:val="24"/>
          <w:szCs w:val="24"/>
        </w:rPr>
        <w:t>753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14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63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0779" w:rsidRPr="001A5B94" w:rsidRDefault="00010779" w:rsidP="000107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B94">
        <w:rPr>
          <w:rFonts w:ascii="Times New Roman" w:hAnsi="Times New Roman" w:cs="Times New Roman"/>
          <w:i/>
          <w:sz w:val="24"/>
          <w:szCs w:val="24"/>
        </w:rPr>
        <w:t xml:space="preserve">Nastavno su prikazani institucijski rezultati koji su </w:t>
      </w:r>
      <w:r w:rsidR="003E6F84">
        <w:rPr>
          <w:rFonts w:ascii="Times New Roman" w:hAnsi="Times New Roman" w:cs="Times New Roman"/>
          <w:i/>
          <w:sz w:val="24"/>
          <w:szCs w:val="24"/>
        </w:rPr>
        <w:t xml:space="preserve">ostvareni </w:t>
      </w:r>
      <w:r w:rsidR="007D53BD">
        <w:rPr>
          <w:rFonts w:ascii="Times New Roman" w:hAnsi="Times New Roman" w:cs="Times New Roman"/>
          <w:i/>
          <w:sz w:val="24"/>
          <w:szCs w:val="24"/>
        </w:rPr>
        <w:t>p</w:t>
      </w:r>
      <w:r w:rsidRPr="001A5B94">
        <w:rPr>
          <w:rFonts w:ascii="Times New Roman" w:hAnsi="Times New Roman" w:cs="Times New Roman"/>
          <w:i/>
          <w:sz w:val="24"/>
          <w:szCs w:val="24"/>
        </w:rPr>
        <w:t xml:space="preserve">rogramskim ugovorom u </w:t>
      </w:r>
      <w:r w:rsidR="007D53BD">
        <w:rPr>
          <w:rFonts w:ascii="Times New Roman" w:hAnsi="Times New Roman" w:cs="Times New Roman"/>
          <w:i/>
          <w:sz w:val="24"/>
          <w:szCs w:val="24"/>
        </w:rPr>
        <w:t>izvještajnom razdoblju</w:t>
      </w:r>
      <w:r w:rsidRPr="001A5B94">
        <w:rPr>
          <w:rFonts w:ascii="Times New Roman" w:hAnsi="Times New Roman" w:cs="Times New Roman"/>
          <w:i/>
          <w:sz w:val="24"/>
          <w:szCs w:val="24"/>
        </w:rPr>
        <w:t xml:space="preserve"> programskog financiranja</w:t>
      </w:r>
      <w:r w:rsidR="00CD6F16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Reetkatablice"/>
        <w:tblW w:w="9165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552"/>
        <w:gridCol w:w="1409"/>
        <w:gridCol w:w="1974"/>
        <w:gridCol w:w="1692"/>
      </w:tblGrid>
      <w:tr w:rsidR="0084143A" w:rsidRPr="001A5B94" w:rsidTr="000D0327">
        <w:trPr>
          <w:trHeight w:val="64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58282128"/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rijednost za 202</w:t>
            </w:r>
            <w:r w:rsidR="00B2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143A" w:rsidRPr="001A5B94" w:rsidTr="000D0327">
        <w:trPr>
          <w:trHeight w:val="223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Broj studenata</w:t>
            </w:r>
          </w:p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Udio dolaznih međunarodnih studenata (dolazna mobilnost studenata)</w:t>
            </w:r>
          </w:p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B3" w:rsidRPr="007C41B3" w:rsidRDefault="007C41B3" w:rsidP="007C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1B3">
              <w:rPr>
                <w:rFonts w:ascii="Times New Roman" w:hAnsi="Times New Roman" w:cs="Times New Roman"/>
                <w:sz w:val="24"/>
                <w:szCs w:val="24"/>
              </w:rPr>
              <w:t xml:space="preserve">ISVU baza podataka </w:t>
            </w:r>
          </w:p>
          <w:p w:rsidR="00B37A8E" w:rsidRPr="00A325CB" w:rsidRDefault="007C41B3" w:rsidP="007C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1B3">
              <w:rPr>
                <w:rFonts w:ascii="Times New Roman" w:hAnsi="Times New Roman" w:cs="Times New Roman"/>
                <w:sz w:val="24"/>
                <w:szCs w:val="24"/>
              </w:rPr>
              <w:t>ak. g. 2023/2024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B3" w:rsidRPr="00A325CB" w:rsidRDefault="007C41B3" w:rsidP="007C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143A" w:rsidRPr="001A5B94" w:rsidTr="000D0327">
        <w:trPr>
          <w:trHeight w:val="12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Broj studenata koji su u prethodnoj akademskoj godini stekli minimalno 55 ECTS bodova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Uspješnost studiranja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Broj studenata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B3" w:rsidRDefault="007C41B3" w:rsidP="007C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ISVU baza podataka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1B3" w:rsidRPr="00A325CB" w:rsidRDefault="007C41B3" w:rsidP="007C41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ak. g. 2023/2024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3A" w:rsidRPr="00A325CB" w:rsidRDefault="007C41B3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84143A" w:rsidRPr="001A5B94" w:rsidTr="000D0327">
        <w:trPr>
          <w:trHeight w:val="545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0086705"/>
            <w:r w:rsidRPr="00A325CB">
              <w:rPr>
                <w:rFonts w:ascii="Times New Roman" w:hAnsi="Times New Roman" w:cs="Times New Roman"/>
                <w:sz w:val="24"/>
                <w:szCs w:val="24"/>
              </w:rPr>
              <w:t xml:space="preserve">Broj radova objavljenih u časopisima uvedenim u </w:t>
            </w:r>
          </w:p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 xml:space="preserve">-bazi Web </w:t>
            </w:r>
            <w:proofErr w:type="spellStart"/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25CB">
              <w:rPr>
                <w:rFonts w:ascii="Times New Roman" w:hAnsi="Times New Roman" w:cs="Times New Roman"/>
                <w:sz w:val="24"/>
                <w:szCs w:val="24"/>
              </w:rPr>
              <w:t xml:space="preserve"> Science za STEM područja znanosti, </w:t>
            </w:r>
          </w:p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 xml:space="preserve">- broj radova objavljenih u časopisima uvedenim u bazu Web </w:t>
            </w:r>
            <w:proofErr w:type="spellStart"/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25CB">
              <w:rPr>
                <w:rFonts w:ascii="Times New Roman" w:hAnsi="Times New Roman" w:cs="Times New Roman"/>
                <w:sz w:val="24"/>
                <w:szCs w:val="24"/>
              </w:rPr>
              <w:t xml:space="preserve"> Science i bazu SCOPUS za društveno, humanističko i interdisciplinarno područje znanosti i umjetnosti (objavljenih tijekom jedne godine)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Znanstvena produktivnost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Broj radova</w:t>
            </w:r>
          </w:p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254" w:rsidRPr="009B0254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Web </w:t>
            </w:r>
            <w:proofErr w:type="spellStart"/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Science)</w:t>
            </w:r>
          </w:p>
          <w:p w:rsidR="009B0254" w:rsidRPr="009B0254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B0254" w:rsidRPr="009B0254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>SCOPUS</w:t>
            </w:r>
          </w:p>
          <w:p w:rsidR="009B0254" w:rsidRPr="009B0254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143A" w:rsidRPr="00A325CB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>DH znanosti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3A" w:rsidRPr="00A325CB" w:rsidRDefault="009B0254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43A" w:rsidRDefault="009B0254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9B0254" w:rsidRDefault="009B0254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254" w:rsidRPr="00A325CB" w:rsidRDefault="009B0254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9"/>
      <w:tr w:rsidR="0084143A" w:rsidRPr="001A5B94" w:rsidTr="000D0327">
        <w:trPr>
          <w:trHeight w:val="158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3A" w:rsidRPr="00A325CB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 Omjer broja završenih studenata u akademskoj godini i broja studenata upisanih u prvu godinu te akademske godine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3A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Završnost studija</w:t>
            </w:r>
          </w:p>
          <w:p w:rsidR="00B37A8E" w:rsidRPr="00A325CB" w:rsidRDefault="00B3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3A" w:rsidRPr="00A325CB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Omjer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A8E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ISVU baza podataka</w:t>
            </w:r>
            <w:r w:rsidR="00B37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43A" w:rsidRPr="00A325CB" w:rsidRDefault="00B3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ak. g. 202</w:t>
            </w:r>
            <w:r w:rsidR="00B23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2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3A" w:rsidRPr="00A325CB" w:rsidRDefault="005A0ABE" w:rsidP="0006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</w:tbl>
    <w:bookmarkEnd w:id="8"/>
    <w:p w:rsidR="00273530" w:rsidRPr="001A5B94" w:rsidRDefault="00273530" w:rsidP="0027353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</w:t>
      </w:r>
      <w:r w:rsidRPr="001A5B94">
        <w:rPr>
          <w:rFonts w:ascii="Times New Roman" w:hAnsi="Times New Roman" w:cs="Times New Roman"/>
          <w:b/>
          <w:sz w:val="28"/>
          <w:szCs w:val="28"/>
        </w:rPr>
        <w:t>62</w:t>
      </w:r>
      <w:r>
        <w:rPr>
          <w:rFonts w:ascii="Times New Roman" w:hAnsi="Times New Roman" w:cs="Times New Roman"/>
          <w:b/>
          <w:sz w:val="28"/>
          <w:szCs w:val="28"/>
        </w:rPr>
        <w:t>1183</w:t>
      </w:r>
      <w:r w:rsidRPr="001A5B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Stipendije i školarine za doktorski studij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273530" w:rsidRPr="001A5B94" w:rsidTr="00B30D94">
        <w:tc>
          <w:tcPr>
            <w:tcW w:w="1643" w:type="dxa"/>
            <w:shd w:val="clear" w:color="auto" w:fill="D0CECE" w:themeFill="background2" w:themeFillShade="E6"/>
          </w:tcPr>
          <w:p w:rsidR="00273530" w:rsidRPr="001A5B94" w:rsidRDefault="00273530" w:rsidP="00B3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530" w:rsidRPr="001A5B94" w:rsidRDefault="00273530" w:rsidP="00B3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273530" w:rsidRPr="001A5B94" w:rsidRDefault="00273530" w:rsidP="00B3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273530" w:rsidRPr="001A5B94" w:rsidRDefault="00273530" w:rsidP="00B3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273530" w:rsidRPr="001A5B94" w:rsidRDefault="00273530" w:rsidP="00B3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273530" w:rsidRPr="001A5B94" w:rsidRDefault="00273530" w:rsidP="00B3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273530" w:rsidRPr="001A5B94" w:rsidRDefault="00273530" w:rsidP="00B3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273530" w:rsidRDefault="00273530" w:rsidP="00B3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:rsidR="00273530" w:rsidRPr="00390036" w:rsidRDefault="00273530" w:rsidP="00B3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273530" w:rsidRPr="001A5B94" w:rsidTr="00B30D94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:rsidR="00273530" w:rsidRPr="00390036" w:rsidRDefault="00273530" w:rsidP="00B30D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273530" w:rsidRPr="00390036" w:rsidRDefault="00273530" w:rsidP="00B30D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273530" w:rsidRPr="00390036" w:rsidRDefault="00273530" w:rsidP="00B30D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273530" w:rsidRPr="00390036" w:rsidRDefault="00273530" w:rsidP="00B30D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73530" w:rsidRPr="00390036" w:rsidRDefault="00273530" w:rsidP="00B30D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73530" w:rsidRPr="00390036" w:rsidRDefault="00273530" w:rsidP="00B30D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73530" w:rsidRPr="00390036" w:rsidRDefault="00273530" w:rsidP="00B30D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530" w:rsidRPr="001A5B94" w:rsidTr="00B30D94">
        <w:tc>
          <w:tcPr>
            <w:tcW w:w="1643" w:type="dxa"/>
          </w:tcPr>
          <w:p w:rsidR="00273530" w:rsidRPr="001A5B94" w:rsidRDefault="00273530" w:rsidP="00B3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7F5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:rsidR="00273530" w:rsidRPr="001A5B94" w:rsidRDefault="00273530" w:rsidP="00B30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:rsidR="00273530" w:rsidRPr="001A5B94" w:rsidRDefault="00273530" w:rsidP="00B30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:rsidR="00273530" w:rsidRPr="001A5B94" w:rsidRDefault="00273530" w:rsidP="00B30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273530" w:rsidRPr="00415937" w:rsidRDefault="00273530" w:rsidP="00B30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273530" w:rsidRPr="00415937" w:rsidRDefault="00A41D54" w:rsidP="00B30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273530" w:rsidRPr="00415937" w:rsidRDefault="00A41D54" w:rsidP="00B30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3530" w:rsidRDefault="00273530" w:rsidP="002735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ovoj aktivnosti </w:t>
      </w:r>
      <w:r w:rsidR="00A41D54">
        <w:rPr>
          <w:rFonts w:ascii="Times New Roman" w:hAnsi="Times New Roman" w:cs="Times New Roman"/>
          <w:sz w:val="24"/>
          <w:szCs w:val="24"/>
        </w:rPr>
        <w:t xml:space="preserve">izvršavaju </w:t>
      </w:r>
      <w:r>
        <w:rPr>
          <w:rFonts w:ascii="Times New Roman" w:hAnsi="Times New Roman" w:cs="Times New Roman"/>
          <w:sz w:val="24"/>
          <w:szCs w:val="24"/>
        </w:rPr>
        <w:t>se troškovi refundacije</w:t>
      </w:r>
      <w:r w:rsidRPr="00273530">
        <w:rPr>
          <w:rFonts w:ascii="Times New Roman" w:hAnsi="Times New Roman" w:cs="Times New Roman"/>
          <w:sz w:val="24"/>
          <w:szCs w:val="24"/>
        </w:rPr>
        <w:t xml:space="preserve"> izrade doktorske disertacije zaposlenicima koji su stekli zvanje doktora znanost</w:t>
      </w:r>
      <w:r w:rsidR="007F5A3B">
        <w:rPr>
          <w:rFonts w:ascii="Times New Roman" w:hAnsi="Times New Roman" w:cs="Times New Roman"/>
          <w:sz w:val="24"/>
          <w:szCs w:val="24"/>
        </w:rPr>
        <w:t>i, a odnose se na dva zaposlenika Fakulteta.</w:t>
      </w:r>
    </w:p>
    <w:p w:rsidR="009B0254" w:rsidRPr="00273530" w:rsidRDefault="009B0254" w:rsidP="002735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465" w:rsidRPr="001A5B94" w:rsidRDefault="00F13465" w:rsidP="00F1346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B94">
        <w:rPr>
          <w:rFonts w:ascii="Times New Roman" w:hAnsi="Times New Roman" w:cs="Times New Roman"/>
          <w:b/>
          <w:sz w:val="28"/>
          <w:szCs w:val="28"/>
        </w:rPr>
        <w:t>A</w:t>
      </w:r>
      <w:bookmarkStart w:id="10" w:name="_Hlk190087402"/>
      <w:r w:rsidRPr="001A5B94">
        <w:rPr>
          <w:rFonts w:ascii="Times New Roman" w:hAnsi="Times New Roman" w:cs="Times New Roman"/>
          <w:b/>
          <w:sz w:val="28"/>
          <w:szCs w:val="28"/>
        </w:rPr>
        <w:t>62</w:t>
      </w:r>
      <w:r>
        <w:rPr>
          <w:rFonts w:ascii="Times New Roman" w:hAnsi="Times New Roman" w:cs="Times New Roman"/>
          <w:b/>
          <w:sz w:val="28"/>
          <w:szCs w:val="28"/>
        </w:rPr>
        <w:t>1181</w:t>
      </w:r>
      <w:r w:rsidRPr="001A5B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Pravomoćne sudske presude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:rsidTr="00D02775">
        <w:tc>
          <w:tcPr>
            <w:tcW w:w="1643" w:type="dxa"/>
            <w:shd w:val="clear" w:color="auto" w:fill="D0CECE" w:themeFill="background2" w:themeFillShade="E6"/>
          </w:tcPr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415937" w:rsidRPr="001A5B94" w:rsidTr="00D02775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15937" w:rsidRPr="001A5B94" w:rsidTr="00D02775">
        <w:tc>
          <w:tcPr>
            <w:tcW w:w="1643" w:type="dxa"/>
          </w:tcPr>
          <w:p w:rsidR="00415937" w:rsidRPr="001A5B94" w:rsidRDefault="00415937" w:rsidP="00D0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7F5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415937" w:rsidRPr="001A5B94" w:rsidRDefault="00273530" w:rsidP="00273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10.625</w:t>
            </w:r>
          </w:p>
        </w:tc>
        <w:tc>
          <w:tcPr>
            <w:tcW w:w="1251" w:type="dxa"/>
          </w:tcPr>
          <w:p w:rsidR="00415937" w:rsidRPr="001A5B94" w:rsidRDefault="00273530" w:rsidP="00273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9.280</w:t>
            </w:r>
          </w:p>
        </w:tc>
        <w:tc>
          <w:tcPr>
            <w:tcW w:w="1251" w:type="dxa"/>
          </w:tcPr>
          <w:p w:rsidR="00415937" w:rsidRPr="001A5B94" w:rsidRDefault="00273530" w:rsidP="00273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415937" w:rsidRPr="00415937" w:rsidRDefault="00273530" w:rsidP="00273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415937" w:rsidRPr="00415937" w:rsidRDefault="00A41D54" w:rsidP="00273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415937" w:rsidRPr="00415937" w:rsidRDefault="003E6F84" w:rsidP="00273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</w:tbl>
    <w:bookmarkEnd w:id="10"/>
    <w:p w:rsidR="00F13465" w:rsidRDefault="00415937" w:rsidP="00ED476D">
      <w:pPr>
        <w:jc w:val="both"/>
        <w:rPr>
          <w:rFonts w:ascii="Times New Roman" w:hAnsi="Times New Roman" w:cs="Times New Roman"/>
          <w:sz w:val="24"/>
          <w:szCs w:val="24"/>
        </w:rPr>
      </w:pPr>
      <w:r w:rsidRPr="006D02E2">
        <w:rPr>
          <w:rFonts w:ascii="Times New Roman" w:hAnsi="Times New Roman" w:cs="Times New Roman"/>
          <w:sz w:val="24"/>
          <w:szCs w:val="24"/>
        </w:rPr>
        <w:t>U ovoj aktivnosti</w:t>
      </w:r>
      <w:r w:rsidR="00A41D54">
        <w:rPr>
          <w:rFonts w:ascii="Times New Roman" w:hAnsi="Times New Roman" w:cs="Times New Roman"/>
          <w:sz w:val="24"/>
          <w:szCs w:val="24"/>
        </w:rPr>
        <w:t xml:space="preserve"> izvršavaju se rashodi </w:t>
      </w:r>
      <w:r w:rsidRPr="006D02E2">
        <w:rPr>
          <w:rFonts w:ascii="Times New Roman" w:hAnsi="Times New Roman" w:cs="Times New Roman"/>
          <w:sz w:val="24"/>
          <w:szCs w:val="24"/>
        </w:rPr>
        <w:t xml:space="preserve">pravomoćnih sudskih presuda za povećanje osnovice </w:t>
      </w:r>
      <w:r w:rsidR="003E6F84">
        <w:rPr>
          <w:rFonts w:ascii="Times New Roman" w:hAnsi="Times New Roman" w:cs="Times New Roman"/>
          <w:sz w:val="24"/>
          <w:szCs w:val="24"/>
        </w:rPr>
        <w:t xml:space="preserve">za obračun plaće u visini </w:t>
      </w:r>
      <w:r w:rsidRPr="006D02E2">
        <w:rPr>
          <w:rFonts w:ascii="Times New Roman" w:hAnsi="Times New Roman" w:cs="Times New Roman"/>
          <w:sz w:val="24"/>
          <w:szCs w:val="24"/>
        </w:rPr>
        <w:t xml:space="preserve">6%, koje Fakultet treba isplatiti svojim </w:t>
      </w:r>
      <w:r w:rsidR="00A41D54">
        <w:rPr>
          <w:rFonts w:ascii="Times New Roman" w:hAnsi="Times New Roman" w:cs="Times New Roman"/>
          <w:sz w:val="24"/>
          <w:szCs w:val="24"/>
        </w:rPr>
        <w:t>zaposlenicima</w:t>
      </w:r>
      <w:r w:rsidRPr="006D02E2">
        <w:rPr>
          <w:rFonts w:ascii="Times New Roman" w:hAnsi="Times New Roman" w:cs="Times New Roman"/>
          <w:sz w:val="24"/>
          <w:szCs w:val="24"/>
        </w:rPr>
        <w:t>, a iznos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2E2">
        <w:rPr>
          <w:rFonts w:ascii="Times New Roman" w:hAnsi="Times New Roman" w:cs="Times New Roman"/>
          <w:sz w:val="24"/>
          <w:szCs w:val="24"/>
        </w:rPr>
        <w:t xml:space="preserve"> </w:t>
      </w:r>
      <w:r w:rsidR="008557B2">
        <w:rPr>
          <w:rFonts w:ascii="Times New Roman" w:hAnsi="Times New Roman" w:cs="Times New Roman"/>
          <w:sz w:val="24"/>
          <w:szCs w:val="24"/>
        </w:rPr>
        <w:t>3.234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2E2">
        <w:rPr>
          <w:rFonts w:ascii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 xml:space="preserve"> odnosi se na </w:t>
      </w:r>
      <w:r w:rsidR="008557B2">
        <w:rPr>
          <w:rFonts w:ascii="Times New Roman" w:hAnsi="Times New Roman" w:cs="Times New Roman"/>
          <w:sz w:val="24"/>
          <w:szCs w:val="24"/>
        </w:rPr>
        <w:t>dvije</w:t>
      </w:r>
      <w:r w:rsidR="00506312">
        <w:rPr>
          <w:rFonts w:ascii="Times New Roman" w:hAnsi="Times New Roman" w:cs="Times New Roman"/>
          <w:sz w:val="24"/>
          <w:szCs w:val="24"/>
        </w:rPr>
        <w:t xml:space="preserve"> pravomoćne sudske presude</w:t>
      </w:r>
      <w:r w:rsidR="008557B2">
        <w:rPr>
          <w:rFonts w:ascii="Times New Roman" w:hAnsi="Times New Roman" w:cs="Times New Roman"/>
          <w:sz w:val="24"/>
          <w:szCs w:val="24"/>
        </w:rPr>
        <w:t xml:space="preserve"> </w:t>
      </w:r>
      <w:r w:rsidR="0084143A">
        <w:rPr>
          <w:rFonts w:ascii="Times New Roman" w:hAnsi="Times New Roman" w:cs="Times New Roman"/>
          <w:sz w:val="24"/>
          <w:szCs w:val="24"/>
        </w:rPr>
        <w:t>koje su</w:t>
      </w:r>
      <w:r w:rsidR="00506312">
        <w:rPr>
          <w:rFonts w:ascii="Times New Roman" w:hAnsi="Times New Roman" w:cs="Times New Roman"/>
          <w:sz w:val="24"/>
          <w:szCs w:val="24"/>
        </w:rPr>
        <w:t xml:space="preserve"> isplaćene </w:t>
      </w:r>
      <w:r w:rsidR="0084143A">
        <w:rPr>
          <w:rFonts w:ascii="Times New Roman" w:hAnsi="Times New Roman" w:cs="Times New Roman"/>
          <w:sz w:val="24"/>
          <w:szCs w:val="24"/>
        </w:rPr>
        <w:t xml:space="preserve"> u 202</w:t>
      </w:r>
      <w:r w:rsidR="008557B2">
        <w:rPr>
          <w:rFonts w:ascii="Times New Roman" w:hAnsi="Times New Roman" w:cs="Times New Roman"/>
          <w:sz w:val="24"/>
          <w:szCs w:val="24"/>
        </w:rPr>
        <w:t>4</w:t>
      </w:r>
      <w:r w:rsidR="0084143A">
        <w:rPr>
          <w:rFonts w:ascii="Times New Roman" w:hAnsi="Times New Roman" w:cs="Times New Roman"/>
          <w:sz w:val="24"/>
          <w:szCs w:val="24"/>
        </w:rPr>
        <w:t>. godini</w:t>
      </w:r>
      <w:r w:rsidR="008557B2">
        <w:rPr>
          <w:rFonts w:ascii="Times New Roman" w:hAnsi="Times New Roman" w:cs="Times New Roman"/>
          <w:sz w:val="24"/>
          <w:szCs w:val="24"/>
        </w:rPr>
        <w:t xml:space="preserve">. </w:t>
      </w:r>
      <w:r w:rsidR="002F7312">
        <w:rPr>
          <w:rFonts w:ascii="Times New Roman" w:hAnsi="Times New Roman" w:cs="Times New Roman"/>
          <w:sz w:val="24"/>
          <w:szCs w:val="24"/>
        </w:rPr>
        <w:t>S ovim isplatama</w:t>
      </w:r>
      <w:r w:rsidR="004D27C2">
        <w:rPr>
          <w:rFonts w:ascii="Times New Roman" w:hAnsi="Times New Roman" w:cs="Times New Roman"/>
          <w:sz w:val="24"/>
          <w:szCs w:val="24"/>
        </w:rPr>
        <w:t>,</w:t>
      </w:r>
      <w:r w:rsidR="00506312">
        <w:rPr>
          <w:rFonts w:ascii="Times New Roman" w:hAnsi="Times New Roman" w:cs="Times New Roman"/>
          <w:sz w:val="24"/>
          <w:szCs w:val="24"/>
        </w:rPr>
        <w:t xml:space="preserve"> svi sudski procesi po osnovu tužbi </w:t>
      </w:r>
      <w:r w:rsidR="004D27C2">
        <w:rPr>
          <w:rFonts w:ascii="Times New Roman" w:hAnsi="Times New Roman" w:cs="Times New Roman"/>
          <w:sz w:val="24"/>
          <w:szCs w:val="24"/>
        </w:rPr>
        <w:t>vezanih za povećanje 6% osnovice koje je Fakultet vodio su završeni.</w:t>
      </w:r>
    </w:p>
    <w:bookmarkEnd w:id="7"/>
    <w:p w:rsidR="0041323D" w:rsidRPr="001A5B94" w:rsidRDefault="0041323D" w:rsidP="0041323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B94">
        <w:rPr>
          <w:rFonts w:ascii="Times New Roman" w:hAnsi="Times New Roman" w:cs="Times New Roman"/>
          <w:b/>
          <w:sz w:val="28"/>
          <w:szCs w:val="28"/>
        </w:rPr>
        <w:t>A679089 Redovna djelatnost Sveučilišta u Rijeci (iz evidencijskih prihoda)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:rsidTr="00D02775">
        <w:tc>
          <w:tcPr>
            <w:tcW w:w="1643" w:type="dxa"/>
            <w:shd w:val="clear" w:color="auto" w:fill="D0CECE" w:themeFill="background2" w:themeFillShade="E6"/>
          </w:tcPr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53750867"/>
            <w:bookmarkStart w:id="12" w:name="_Hlk158280404"/>
          </w:p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390036" w:rsidRPr="001A5B94" w:rsidTr="00D02775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90036" w:rsidRPr="001A5B94" w:rsidTr="00D02775">
        <w:tc>
          <w:tcPr>
            <w:tcW w:w="1643" w:type="dxa"/>
          </w:tcPr>
          <w:p w:rsidR="00390036" w:rsidRPr="001A5B94" w:rsidRDefault="00390036" w:rsidP="003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A679089</w:t>
            </w:r>
          </w:p>
        </w:tc>
        <w:tc>
          <w:tcPr>
            <w:tcW w:w="1251" w:type="dxa"/>
          </w:tcPr>
          <w:p w:rsidR="00390036" w:rsidRPr="001A5B94" w:rsidRDefault="008557B2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2.020.092</w:t>
            </w:r>
          </w:p>
        </w:tc>
        <w:tc>
          <w:tcPr>
            <w:tcW w:w="1251" w:type="dxa"/>
          </w:tcPr>
          <w:p w:rsidR="00390036" w:rsidRPr="001A5B94" w:rsidRDefault="008557B2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1.922.803</w:t>
            </w:r>
          </w:p>
        </w:tc>
        <w:tc>
          <w:tcPr>
            <w:tcW w:w="1251" w:type="dxa"/>
          </w:tcPr>
          <w:p w:rsidR="00390036" w:rsidRPr="001A5B94" w:rsidRDefault="008557B2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1.939.957</w:t>
            </w:r>
          </w:p>
        </w:tc>
        <w:tc>
          <w:tcPr>
            <w:tcW w:w="1250" w:type="dxa"/>
          </w:tcPr>
          <w:p w:rsidR="00390036" w:rsidRPr="001A5B94" w:rsidRDefault="008557B2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1.898.981</w:t>
            </w:r>
          </w:p>
        </w:tc>
        <w:tc>
          <w:tcPr>
            <w:tcW w:w="1251" w:type="dxa"/>
          </w:tcPr>
          <w:p w:rsidR="00390036" w:rsidRPr="001A5B94" w:rsidRDefault="003E6F84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165" w:type="dxa"/>
          </w:tcPr>
          <w:p w:rsidR="00390036" w:rsidRPr="001A5B94" w:rsidRDefault="003E6F84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97,89</w:t>
            </w:r>
          </w:p>
        </w:tc>
      </w:tr>
    </w:tbl>
    <w:p w:rsidR="00DE2EFF" w:rsidRPr="00DE2EFF" w:rsidRDefault="000D147C" w:rsidP="00DE2E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53753711"/>
      <w:bookmarkEnd w:id="11"/>
      <w:bookmarkEnd w:id="12"/>
      <w:r>
        <w:rPr>
          <w:rFonts w:ascii="Times New Roman" w:hAnsi="Times New Roman" w:cs="Times New Roman"/>
          <w:i/>
          <w:sz w:val="24"/>
          <w:szCs w:val="24"/>
        </w:rPr>
        <w:t xml:space="preserve">Ova aktivnost izvršena je </w:t>
      </w:r>
      <w:r w:rsidR="001F73FC">
        <w:rPr>
          <w:rFonts w:ascii="Times New Roman" w:hAnsi="Times New Roman" w:cs="Times New Roman"/>
          <w:i/>
          <w:sz w:val="24"/>
          <w:szCs w:val="24"/>
        </w:rPr>
        <w:t xml:space="preserve">97,89% u odnosu na tekući plan za 2024. godinu, a sastoji se od </w:t>
      </w:r>
      <w:r w:rsidR="00DE2EFF" w:rsidRPr="00DE2EFF">
        <w:rPr>
          <w:rFonts w:ascii="Times New Roman" w:hAnsi="Times New Roman" w:cs="Times New Roman"/>
          <w:i/>
          <w:sz w:val="24"/>
          <w:szCs w:val="24"/>
        </w:rPr>
        <w:t xml:space="preserve">sljedećih </w:t>
      </w:r>
      <w:proofErr w:type="spellStart"/>
      <w:r w:rsidR="00DE2EFF" w:rsidRPr="00DE2EFF">
        <w:rPr>
          <w:rFonts w:ascii="Times New Roman" w:hAnsi="Times New Roman" w:cs="Times New Roman"/>
          <w:i/>
          <w:sz w:val="24"/>
          <w:szCs w:val="24"/>
        </w:rPr>
        <w:t>podaktivnosti</w:t>
      </w:r>
      <w:proofErr w:type="spellEnd"/>
      <w:r w:rsidR="00DE2EFF" w:rsidRPr="00DE2EFF">
        <w:rPr>
          <w:rFonts w:ascii="Times New Roman" w:hAnsi="Times New Roman" w:cs="Times New Roman"/>
          <w:sz w:val="24"/>
          <w:szCs w:val="24"/>
        </w:rPr>
        <w:t>:</w:t>
      </w:r>
    </w:p>
    <w:p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>Osnovna djelatnosti – participacija školarina</w:t>
      </w:r>
    </w:p>
    <w:p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Poslijediplomski studij „Pomorstvo“ </w:t>
      </w:r>
    </w:p>
    <w:p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Programi cjeloživotnog obrazovanja – tečajevi i  poseban program izobrazbe za pomorce </w:t>
      </w:r>
    </w:p>
    <w:p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Stručna djelatnost – projekti za gospodarstvo </w:t>
      </w:r>
    </w:p>
    <w:p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>Rad Studentskog zbora</w:t>
      </w:r>
    </w:p>
    <w:p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Programi znanstveno-istraživačke djelatnosti </w:t>
      </w:r>
    </w:p>
    <w:p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Projekt Hrvatske zaklade za znanost </w:t>
      </w:r>
    </w:p>
    <w:p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Izdavanje znanstvenih udžbenika </w:t>
      </w:r>
    </w:p>
    <w:p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Izdavanje časopisa „Pomorstvo“ </w:t>
      </w:r>
    </w:p>
    <w:p w:rsid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Ostale nespomenute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>.</w:t>
      </w:r>
    </w:p>
    <w:p w:rsid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EFF" w:rsidRPr="00DE2EFF" w:rsidRDefault="00DE2EFF" w:rsidP="00DE2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1.</w:t>
      </w:r>
      <w:r w:rsidRPr="00DE2EFF">
        <w:rPr>
          <w:rFonts w:ascii="Times New Roman" w:hAnsi="Times New Roman" w:cs="Times New Roman"/>
          <w:sz w:val="24"/>
          <w:szCs w:val="24"/>
        </w:rPr>
        <w:tab/>
      </w:r>
      <w:r w:rsidRPr="00DE2EFF">
        <w:rPr>
          <w:rFonts w:ascii="Times New Roman" w:hAnsi="Times New Roman" w:cs="Times New Roman"/>
          <w:b/>
          <w:sz w:val="24"/>
          <w:szCs w:val="24"/>
        </w:rPr>
        <w:t xml:space="preserve">Osnovna djelatnost – participacija školarina i ostalih s njima povezanih prihoda  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Unutar ove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653F11">
        <w:rPr>
          <w:rFonts w:ascii="Times New Roman" w:hAnsi="Times New Roman" w:cs="Times New Roman"/>
          <w:sz w:val="24"/>
          <w:szCs w:val="24"/>
        </w:rPr>
        <w:t>izvršeni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Pr="00DE2EFF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2EFF">
        <w:rPr>
          <w:rFonts w:ascii="Times New Roman" w:hAnsi="Times New Roman" w:cs="Times New Roman"/>
          <w:sz w:val="24"/>
          <w:szCs w:val="24"/>
        </w:rPr>
        <w:t xml:space="preserve"> nastali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EFF">
        <w:rPr>
          <w:rFonts w:ascii="Times New Roman" w:hAnsi="Times New Roman" w:cs="Times New Roman"/>
          <w:sz w:val="24"/>
          <w:szCs w:val="24"/>
        </w:rPr>
        <w:t>provedbom studija i on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2EFF">
        <w:rPr>
          <w:rFonts w:ascii="Times New Roman" w:hAnsi="Times New Roman" w:cs="Times New Roman"/>
          <w:sz w:val="24"/>
          <w:szCs w:val="24"/>
        </w:rPr>
        <w:t xml:space="preserve"> u 2024. godini iznose  </w:t>
      </w:r>
      <w:r w:rsidR="00653F11">
        <w:rPr>
          <w:rFonts w:ascii="Times New Roman" w:hAnsi="Times New Roman" w:cs="Times New Roman"/>
          <w:sz w:val="24"/>
          <w:szCs w:val="24"/>
        </w:rPr>
        <w:t>515.872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, od toga </w:t>
      </w:r>
      <w:r w:rsidR="00653F11">
        <w:rPr>
          <w:rFonts w:ascii="Times New Roman" w:hAnsi="Times New Roman" w:cs="Times New Roman"/>
          <w:sz w:val="24"/>
          <w:szCs w:val="24"/>
        </w:rPr>
        <w:t>382.212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eura za materijalne rashode, </w:t>
      </w:r>
      <w:r w:rsidR="00653F11">
        <w:rPr>
          <w:rFonts w:ascii="Times New Roman" w:hAnsi="Times New Roman" w:cs="Times New Roman"/>
          <w:sz w:val="24"/>
          <w:szCs w:val="24"/>
        </w:rPr>
        <w:t xml:space="preserve">564 </w:t>
      </w:r>
      <w:r w:rsidRPr="00DE2EFF">
        <w:rPr>
          <w:rFonts w:ascii="Times New Roman" w:hAnsi="Times New Roman" w:cs="Times New Roman"/>
          <w:sz w:val="24"/>
          <w:szCs w:val="24"/>
        </w:rPr>
        <w:t>EUR za financijske rashode</w:t>
      </w:r>
      <w:r w:rsidR="00653F11">
        <w:rPr>
          <w:rFonts w:ascii="Times New Roman" w:hAnsi="Times New Roman" w:cs="Times New Roman"/>
          <w:sz w:val="24"/>
          <w:szCs w:val="24"/>
        </w:rPr>
        <w:t xml:space="preserve">, 24.264 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za prijenos sredstava školarina Sveučilištu u Rijeci temeljem obračunatih prihoda (3%+1%), </w:t>
      </w:r>
      <w:r w:rsidR="00653F11">
        <w:rPr>
          <w:rFonts w:ascii="Times New Roman" w:hAnsi="Times New Roman" w:cs="Times New Roman"/>
          <w:sz w:val="24"/>
          <w:szCs w:val="24"/>
        </w:rPr>
        <w:t>1.140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za </w:t>
      </w:r>
      <w:r w:rsidR="003D0F25">
        <w:rPr>
          <w:rFonts w:ascii="Times New Roman" w:hAnsi="Times New Roman" w:cs="Times New Roman"/>
          <w:sz w:val="24"/>
          <w:szCs w:val="24"/>
        </w:rPr>
        <w:t xml:space="preserve"> plaćene </w:t>
      </w:r>
      <w:r w:rsidRPr="00DE2EFF">
        <w:rPr>
          <w:rFonts w:ascii="Times New Roman" w:hAnsi="Times New Roman" w:cs="Times New Roman"/>
          <w:sz w:val="24"/>
          <w:szCs w:val="24"/>
        </w:rPr>
        <w:t xml:space="preserve">školarine zaposlenika na doktorskom studiju, </w:t>
      </w:r>
      <w:r w:rsidR="00653F11">
        <w:rPr>
          <w:rFonts w:ascii="Times New Roman" w:hAnsi="Times New Roman" w:cs="Times New Roman"/>
          <w:sz w:val="24"/>
          <w:szCs w:val="24"/>
        </w:rPr>
        <w:t xml:space="preserve">1.105 </w:t>
      </w:r>
      <w:r w:rsidRPr="00DE2EFF">
        <w:rPr>
          <w:rFonts w:ascii="Times New Roman" w:hAnsi="Times New Roman" w:cs="Times New Roman"/>
          <w:sz w:val="24"/>
          <w:szCs w:val="24"/>
        </w:rPr>
        <w:t xml:space="preserve">EUR za ostale tekuće donacije u naravi koje se odnose na poklone </w:t>
      </w:r>
      <w:r w:rsidR="00653F11">
        <w:rPr>
          <w:rFonts w:ascii="Times New Roman" w:hAnsi="Times New Roman" w:cs="Times New Roman"/>
          <w:sz w:val="24"/>
          <w:szCs w:val="24"/>
        </w:rPr>
        <w:t xml:space="preserve">najbolje nagrađenim studentima, 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653F11">
        <w:rPr>
          <w:rFonts w:ascii="Times New Roman" w:hAnsi="Times New Roman" w:cs="Times New Roman"/>
          <w:sz w:val="24"/>
          <w:szCs w:val="24"/>
        </w:rPr>
        <w:t>10.993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za ulaganje u tuđu imovinu u prostor bivše tvornice Torpedo gdje se </w:t>
      </w:r>
      <w:r w:rsidRPr="00DE2EFF">
        <w:rPr>
          <w:rFonts w:ascii="Times New Roman" w:hAnsi="Times New Roman" w:cs="Times New Roman"/>
          <w:sz w:val="24"/>
          <w:szCs w:val="24"/>
        </w:rPr>
        <w:lastRenderedPageBreak/>
        <w:t xml:space="preserve">nalazi edukativna radionica Fakulteta, </w:t>
      </w:r>
      <w:r w:rsidR="00653F11">
        <w:rPr>
          <w:rFonts w:ascii="Times New Roman" w:hAnsi="Times New Roman" w:cs="Times New Roman"/>
          <w:sz w:val="24"/>
          <w:szCs w:val="24"/>
        </w:rPr>
        <w:t>67.405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za nabavu i zamjenu </w:t>
      </w:r>
      <w:r w:rsidR="00653F11">
        <w:rPr>
          <w:rFonts w:ascii="Times New Roman" w:hAnsi="Times New Roman" w:cs="Times New Roman"/>
          <w:sz w:val="24"/>
          <w:szCs w:val="24"/>
        </w:rPr>
        <w:t>računalne opreme i dotrajalog uredskog namještaja</w:t>
      </w:r>
      <w:r w:rsidRPr="00DE2EFF">
        <w:rPr>
          <w:rFonts w:ascii="Times New Roman" w:hAnsi="Times New Roman" w:cs="Times New Roman"/>
          <w:sz w:val="24"/>
          <w:szCs w:val="24"/>
        </w:rPr>
        <w:t xml:space="preserve">, nabavu laboratorijske opreme i knjiga, te preostalih </w:t>
      </w:r>
      <w:r w:rsidR="00653F11">
        <w:rPr>
          <w:rFonts w:ascii="Times New Roman" w:hAnsi="Times New Roman" w:cs="Times New Roman"/>
          <w:sz w:val="24"/>
          <w:szCs w:val="24"/>
        </w:rPr>
        <w:t>28.190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predstavljaju </w:t>
      </w:r>
      <w:r w:rsidR="00653F11">
        <w:rPr>
          <w:rFonts w:ascii="Times New Roman" w:hAnsi="Times New Roman" w:cs="Times New Roman"/>
          <w:sz w:val="24"/>
          <w:szCs w:val="24"/>
        </w:rPr>
        <w:t>nabavu dijelova za portalnu dizalicu u edukativnoj radionici Torpedo.</w:t>
      </w:r>
      <w:r w:rsidRPr="00DE2E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2.</w:t>
      </w:r>
      <w:r w:rsidRPr="00DE2EFF">
        <w:rPr>
          <w:rFonts w:ascii="Times New Roman" w:hAnsi="Times New Roman" w:cs="Times New Roman"/>
          <w:b/>
          <w:sz w:val="24"/>
          <w:szCs w:val="24"/>
        </w:rPr>
        <w:tab/>
        <w:t>Poslijediplomski studij „Pomorstvo“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Na ovoj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653F11">
        <w:rPr>
          <w:rFonts w:ascii="Times New Roman" w:hAnsi="Times New Roman" w:cs="Times New Roman"/>
          <w:sz w:val="24"/>
          <w:szCs w:val="24"/>
        </w:rPr>
        <w:t>izvršeni su rashodi</w:t>
      </w:r>
      <w:r w:rsidRPr="00DE2EFF">
        <w:rPr>
          <w:rFonts w:ascii="Times New Roman" w:hAnsi="Times New Roman" w:cs="Times New Roman"/>
          <w:sz w:val="24"/>
          <w:szCs w:val="24"/>
        </w:rPr>
        <w:t xml:space="preserve"> za izvođenje poslijediplomskog studija „Pomorstvo“ u ukupnom iznosu </w:t>
      </w:r>
      <w:r w:rsidR="00653F11">
        <w:rPr>
          <w:rFonts w:ascii="Times New Roman" w:hAnsi="Times New Roman" w:cs="Times New Roman"/>
          <w:sz w:val="24"/>
          <w:szCs w:val="24"/>
        </w:rPr>
        <w:t>25.060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EUR. Od ukupno </w:t>
      </w:r>
      <w:r w:rsidR="00653F11">
        <w:rPr>
          <w:rFonts w:ascii="Times New Roman" w:hAnsi="Times New Roman" w:cs="Times New Roman"/>
          <w:sz w:val="24"/>
          <w:szCs w:val="24"/>
        </w:rPr>
        <w:t xml:space="preserve">utrošenih </w:t>
      </w:r>
      <w:r w:rsidRPr="00DE2EFF">
        <w:rPr>
          <w:rFonts w:ascii="Times New Roman" w:hAnsi="Times New Roman" w:cs="Times New Roman"/>
          <w:sz w:val="24"/>
          <w:szCs w:val="24"/>
        </w:rPr>
        <w:t xml:space="preserve">sredstava u 2024. godini, na rashode za zaposlene odnosi se </w:t>
      </w:r>
      <w:r w:rsidR="00653F11">
        <w:rPr>
          <w:rFonts w:ascii="Times New Roman" w:hAnsi="Times New Roman" w:cs="Times New Roman"/>
          <w:sz w:val="24"/>
          <w:szCs w:val="24"/>
        </w:rPr>
        <w:t>45,67</w:t>
      </w:r>
      <w:r w:rsidRPr="00DE2EFF">
        <w:rPr>
          <w:rFonts w:ascii="Times New Roman" w:hAnsi="Times New Roman" w:cs="Times New Roman"/>
          <w:sz w:val="24"/>
          <w:szCs w:val="24"/>
        </w:rPr>
        <w:t xml:space="preserve">% dok </w:t>
      </w:r>
      <w:r w:rsidR="009B0254">
        <w:rPr>
          <w:rFonts w:ascii="Times New Roman" w:hAnsi="Times New Roman" w:cs="Times New Roman"/>
          <w:sz w:val="24"/>
          <w:szCs w:val="24"/>
        </w:rPr>
        <w:t xml:space="preserve">se </w:t>
      </w:r>
      <w:r w:rsidR="00653F11">
        <w:rPr>
          <w:rFonts w:ascii="Times New Roman" w:hAnsi="Times New Roman" w:cs="Times New Roman"/>
          <w:sz w:val="24"/>
          <w:szCs w:val="24"/>
        </w:rPr>
        <w:t>44,70</w:t>
      </w:r>
      <w:r w:rsidRPr="00DE2EFF">
        <w:rPr>
          <w:rFonts w:ascii="Times New Roman" w:hAnsi="Times New Roman" w:cs="Times New Roman"/>
          <w:sz w:val="24"/>
          <w:szCs w:val="24"/>
        </w:rPr>
        <w:t xml:space="preserve">% odnosi se na rashode za vanjske suradnike na studiju. Preostali rashodi odnose se na podmirenje troškova izvođenja ove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, te prijenos </w:t>
      </w:r>
      <w:r w:rsidR="00653F11" w:rsidRPr="00DE2EFF">
        <w:rPr>
          <w:rFonts w:ascii="Times New Roman" w:hAnsi="Times New Roman" w:cs="Times New Roman"/>
          <w:sz w:val="24"/>
          <w:szCs w:val="24"/>
        </w:rPr>
        <w:t xml:space="preserve">4% </w:t>
      </w:r>
      <w:r w:rsidRPr="00DE2EFF">
        <w:rPr>
          <w:rFonts w:ascii="Times New Roman" w:hAnsi="Times New Roman" w:cs="Times New Roman"/>
          <w:sz w:val="24"/>
          <w:szCs w:val="24"/>
        </w:rPr>
        <w:t xml:space="preserve">obračuna prihoda za Sveučilište. Ova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financira se iz izvora 43.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3.</w:t>
      </w:r>
      <w:r w:rsidRPr="00DE2EFF">
        <w:rPr>
          <w:rFonts w:ascii="Times New Roman" w:hAnsi="Times New Roman" w:cs="Times New Roman"/>
          <w:b/>
          <w:sz w:val="24"/>
          <w:szCs w:val="24"/>
        </w:rPr>
        <w:tab/>
        <w:t xml:space="preserve">Programi cjeloživotnog obrazovanja - tečajevi i posebni program izobrazbe za pomorce 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U okviru ove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653F11">
        <w:rPr>
          <w:rFonts w:ascii="Times New Roman" w:hAnsi="Times New Roman" w:cs="Times New Roman"/>
          <w:sz w:val="24"/>
          <w:szCs w:val="24"/>
        </w:rPr>
        <w:t xml:space="preserve">utrošena su </w:t>
      </w:r>
      <w:r w:rsidRPr="00DE2EFF">
        <w:rPr>
          <w:rFonts w:ascii="Times New Roman" w:hAnsi="Times New Roman" w:cs="Times New Roman"/>
          <w:sz w:val="24"/>
          <w:szCs w:val="24"/>
        </w:rPr>
        <w:t xml:space="preserve">sredstva u iznosu od </w:t>
      </w:r>
      <w:r w:rsidR="00653F11">
        <w:rPr>
          <w:rFonts w:ascii="Times New Roman" w:hAnsi="Times New Roman" w:cs="Times New Roman"/>
          <w:sz w:val="24"/>
          <w:szCs w:val="24"/>
        </w:rPr>
        <w:t>185.647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</w:t>
      </w:r>
      <w:r w:rsidR="00653F11">
        <w:rPr>
          <w:rFonts w:ascii="Times New Roman" w:hAnsi="Times New Roman" w:cs="Times New Roman"/>
          <w:sz w:val="24"/>
          <w:szCs w:val="24"/>
        </w:rPr>
        <w:t>i odnose se na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653F11">
        <w:rPr>
          <w:rFonts w:ascii="Times New Roman" w:hAnsi="Times New Roman" w:cs="Times New Roman"/>
          <w:sz w:val="24"/>
          <w:szCs w:val="24"/>
        </w:rPr>
        <w:t xml:space="preserve">rashode za </w:t>
      </w:r>
      <w:r w:rsidRPr="00DE2EFF">
        <w:rPr>
          <w:rFonts w:ascii="Times New Roman" w:hAnsi="Times New Roman" w:cs="Times New Roman"/>
          <w:sz w:val="24"/>
          <w:szCs w:val="24"/>
        </w:rPr>
        <w:t>zaposlene koji izvode tečajeve i programe izobrazbe za pomorce</w:t>
      </w:r>
      <w:r w:rsidR="00653F11">
        <w:rPr>
          <w:rFonts w:ascii="Times New Roman" w:hAnsi="Times New Roman" w:cs="Times New Roman"/>
          <w:sz w:val="24"/>
          <w:szCs w:val="24"/>
        </w:rPr>
        <w:t xml:space="preserve"> kao i vanjske suradnike</w:t>
      </w:r>
      <w:r w:rsidRPr="00DE2EFF">
        <w:rPr>
          <w:rFonts w:ascii="Times New Roman" w:hAnsi="Times New Roman" w:cs="Times New Roman"/>
          <w:sz w:val="24"/>
          <w:szCs w:val="24"/>
        </w:rPr>
        <w:t xml:space="preserve">. Materijalni rashodi u 2024. </w:t>
      </w:r>
      <w:r w:rsidR="00653F11">
        <w:rPr>
          <w:rFonts w:ascii="Times New Roman" w:hAnsi="Times New Roman" w:cs="Times New Roman"/>
          <w:sz w:val="24"/>
          <w:szCs w:val="24"/>
        </w:rPr>
        <w:t>izvršeni su u iznosu 31.191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i odnose se na sredstva za vanjske suradnike, najam vatrogasnih poligona za izvođenje tečajeva, reprezentaciju i ostale rashode</w:t>
      </w:r>
      <w:r w:rsidR="003D0F25">
        <w:rPr>
          <w:rFonts w:ascii="Times New Roman" w:hAnsi="Times New Roman" w:cs="Times New Roman"/>
          <w:sz w:val="24"/>
          <w:szCs w:val="24"/>
        </w:rPr>
        <w:t xml:space="preserve">. </w:t>
      </w:r>
      <w:r w:rsidRPr="00DE2EFF">
        <w:rPr>
          <w:rFonts w:ascii="Times New Roman" w:hAnsi="Times New Roman" w:cs="Times New Roman"/>
          <w:sz w:val="24"/>
          <w:szCs w:val="24"/>
        </w:rPr>
        <w:t xml:space="preserve">Preostali rashodi odnose se na podmirenje ostalih troškova izvođenja ove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, te prijenos </w:t>
      </w:r>
      <w:r w:rsidR="00653F11" w:rsidRPr="00DE2EFF">
        <w:rPr>
          <w:rFonts w:ascii="Times New Roman" w:hAnsi="Times New Roman" w:cs="Times New Roman"/>
          <w:sz w:val="24"/>
          <w:szCs w:val="24"/>
        </w:rPr>
        <w:t xml:space="preserve">4% </w:t>
      </w:r>
      <w:r w:rsidRPr="00DE2EFF">
        <w:rPr>
          <w:rFonts w:ascii="Times New Roman" w:hAnsi="Times New Roman" w:cs="Times New Roman"/>
          <w:sz w:val="24"/>
          <w:szCs w:val="24"/>
        </w:rPr>
        <w:t>obračuna prihoda za Sveučilište.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4</w:t>
      </w:r>
      <w:r w:rsidRPr="00DE2EFF">
        <w:rPr>
          <w:rFonts w:ascii="Times New Roman" w:hAnsi="Times New Roman" w:cs="Times New Roman"/>
          <w:sz w:val="24"/>
          <w:szCs w:val="24"/>
        </w:rPr>
        <w:t>.</w:t>
      </w:r>
      <w:r w:rsidRPr="00DE2EFF">
        <w:rPr>
          <w:rFonts w:ascii="Times New Roman" w:hAnsi="Times New Roman" w:cs="Times New Roman"/>
          <w:sz w:val="24"/>
          <w:szCs w:val="24"/>
        </w:rPr>
        <w:tab/>
      </w:r>
      <w:r w:rsidRPr="00DE2EFF">
        <w:rPr>
          <w:rFonts w:ascii="Times New Roman" w:hAnsi="Times New Roman" w:cs="Times New Roman"/>
          <w:b/>
          <w:sz w:val="24"/>
          <w:szCs w:val="24"/>
        </w:rPr>
        <w:t>Stručna djelatnost – projekti za gospodarstvo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U okviru ove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70129B">
        <w:rPr>
          <w:rFonts w:ascii="Times New Roman" w:hAnsi="Times New Roman" w:cs="Times New Roman"/>
          <w:sz w:val="24"/>
          <w:szCs w:val="24"/>
        </w:rPr>
        <w:t>89,73</w:t>
      </w:r>
      <w:r w:rsidRPr="00DE2EFF">
        <w:rPr>
          <w:rFonts w:ascii="Times New Roman" w:hAnsi="Times New Roman" w:cs="Times New Roman"/>
          <w:sz w:val="24"/>
          <w:szCs w:val="24"/>
        </w:rPr>
        <w:t xml:space="preserve"> % od ukupno </w:t>
      </w:r>
      <w:r w:rsidR="0070129B">
        <w:rPr>
          <w:rFonts w:ascii="Times New Roman" w:hAnsi="Times New Roman" w:cs="Times New Roman"/>
          <w:sz w:val="24"/>
          <w:szCs w:val="24"/>
        </w:rPr>
        <w:t>utrošenih</w:t>
      </w:r>
      <w:r w:rsidRPr="00DE2EFF">
        <w:rPr>
          <w:rFonts w:ascii="Times New Roman" w:hAnsi="Times New Roman" w:cs="Times New Roman"/>
          <w:sz w:val="24"/>
          <w:szCs w:val="24"/>
        </w:rPr>
        <w:t xml:space="preserve">  3</w:t>
      </w:r>
      <w:r w:rsidR="0070129B">
        <w:rPr>
          <w:rFonts w:ascii="Times New Roman" w:hAnsi="Times New Roman" w:cs="Times New Roman"/>
          <w:sz w:val="24"/>
          <w:szCs w:val="24"/>
        </w:rPr>
        <w:t>28.396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u 2024. godini odnosi se na intelektualne usluge, odnosno isplatu honorara za zaposlenima i vanjskim suradnicima koji rade </w:t>
      </w:r>
      <w:r w:rsidR="0070129B">
        <w:rPr>
          <w:rFonts w:ascii="Times New Roman" w:hAnsi="Times New Roman" w:cs="Times New Roman"/>
          <w:sz w:val="24"/>
          <w:szCs w:val="24"/>
        </w:rPr>
        <w:t xml:space="preserve">na </w:t>
      </w:r>
      <w:r w:rsidRPr="00DE2EFF">
        <w:rPr>
          <w:rFonts w:ascii="Times New Roman" w:hAnsi="Times New Roman" w:cs="Times New Roman"/>
          <w:sz w:val="24"/>
          <w:szCs w:val="24"/>
        </w:rPr>
        <w:t xml:space="preserve">stručnim projektima izrade elaborata i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maritimnih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studija za privredu. Preostali rashodi odnose se na podmirenje troškova izvođenja ove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, te prijenos </w:t>
      </w:r>
      <w:r w:rsidR="0070129B" w:rsidRPr="00DE2EFF">
        <w:rPr>
          <w:rFonts w:ascii="Times New Roman" w:hAnsi="Times New Roman" w:cs="Times New Roman"/>
          <w:sz w:val="24"/>
          <w:szCs w:val="24"/>
        </w:rPr>
        <w:t xml:space="preserve">4% </w:t>
      </w:r>
      <w:r w:rsidRPr="00DE2EFF">
        <w:rPr>
          <w:rFonts w:ascii="Times New Roman" w:hAnsi="Times New Roman" w:cs="Times New Roman"/>
          <w:sz w:val="24"/>
          <w:szCs w:val="24"/>
        </w:rPr>
        <w:t xml:space="preserve">obračuna prihoda za Sveučilište. 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5</w:t>
      </w:r>
      <w:r w:rsidRPr="00DE2EFF">
        <w:rPr>
          <w:rFonts w:ascii="Times New Roman" w:hAnsi="Times New Roman" w:cs="Times New Roman"/>
          <w:sz w:val="24"/>
          <w:szCs w:val="24"/>
        </w:rPr>
        <w:t>.</w:t>
      </w:r>
      <w:r w:rsidRPr="00DE2EFF">
        <w:rPr>
          <w:rFonts w:ascii="Times New Roman" w:hAnsi="Times New Roman" w:cs="Times New Roman"/>
          <w:sz w:val="24"/>
          <w:szCs w:val="24"/>
        </w:rPr>
        <w:tab/>
      </w:r>
      <w:r w:rsidRPr="00DE2EFF">
        <w:rPr>
          <w:rFonts w:ascii="Times New Roman" w:hAnsi="Times New Roman" w:cs="Times New Roman"/>
          <w:b/>
          <w:sz w:val="24"/>
          <w:szCs w:val="24"/>
        </w:rPr>
        <w:t>Rad Studentskog zbora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Studentski zbor nema pravnu osobnost, a njegova aktivnost se financira iz izvora 43, 52 i 61 u skladu s izvorom prihoda. Dio troškova se financira iz školarina, dio doznačenim sredstvima Sveučilišta u Rijeci i dio donacijama od trgovačkih društava. </w:t>
      </w:r>
      <w:r w:rsidR="0070129B">
        <w:rPr>
          <w:rFonts w:ascii="Times New Roman" w:hAnsi="Times New Roman" w:cs="Times New Roman"/>
          <w:sz w:val="24"/>
          <w:szCs w:val="24"/>
        </w:rPr>
        <w:t>U 2024. je utrošeno 427 EUR.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6.</w:t>
      </w:r>
      <w:r w:rsidRPr="00DE2EFF">
        <w:rPr>
          <w:rFonts w:ascii="Times New Roman" w:hAnsi="Times New Roman" w:cs="Times New Roman"/>
          <w:b/>
          <w:sz w:val="24"/>
          <w:szCs w:val="24"/>
        </w:rPr>
        <w:tab/>
        <w:t>Programi znanstveno-istraživačke djelatnosti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29B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U okviru ove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financiraju se programi znanstveno-istraživačke djelatnosti temeljem Pravilnika o poticanju znanstvene aktivnosti Fakulteta, te implementacija 20 (dvadeset) UNIRI-ZIP znanstvenih projekata ukupne vrijednosti 210.523 EUR kao i financiranje projekata putem UNIRI stimulativnih potpora. </w:t>
      </w:r>
      <w:r w:rsidR="0070129B">
        <w:rPr>
          <w:rFonts w:ascii="Times New Roman" w:hAnsi="Times New Roman" w:cs="Times New Roman"/>
          <w:sz w:val="24"/>
          <w:szCs w:val="24"/>
        </w:rPr>
        <w:t xml:space="preserve">Ukupno je izvršeno </w:t>
      </w:r>
      <w:r w:rsidR="003D0F25">
        <w:rPr>
          <w:rFonts w:ascii="Times New Roman" w:hAnsi="Times New Roman" w:cs="Times New Roman"/>
          <w:sz w:val="24"/>
          <w:szCs w:val="24"/>
        </w:rPr>
        <w:t>97.948 EUR.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7.</w:t>
      </w:r>
      <w:r w:rsidRPr="00DE2EFF">
        <w:rPr>
          <w:rFonts w:ascii="Times New Roman" w:hAnsi="Times New Roman" w:cs="Times New Roman"/>
          <w:sz w:val="24"/>
          <w:szCs w:val="24"/>
        </w:rPr>
        <w:tab/>
      </w:r>
      <w:r w:rsidRPr="00DE2EFF">
        <w:rPr>
          <w:rFonts w:ascii="Times New Roman" w:hAnsi="Times New Roman" w:cs="Times New Roman"/>
          <w:b/>
          <w:sz w:val="24"/>
          <w:szCs w:val="24"/>
        </w:rPr>
        <w:t>Projekti Hrvatske zaklade za znanost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Projekt „Engleske riječi u hrvatskome jeziku: identifikacija,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afektivnosemantičko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normiranje i ispitivanje kognitivne obrade bihevioralnim i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neuroznanstvenim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metodama“ završava 28. veljače 2025. godine te se </w:t>
      </w:r>
      <w:r w:rsidR="00980009">
        <w:rPr>
          <w:rFonts w:ascii="Times New Roman" w:hAnsi="Times New Roman" w:cs="Times New Roman"/>
          <w:sz w:val="24"/>
          <w:szCs w:val="24"/>
        </w:rPr>
        <w:t>izvršeni rashodi</w:t>
      </w:r>
      <w:r w:rsidRPr="00DE2EFF">
        <w:rPr>
          <w:rFonts w:ascii="Times New Roman" w:hAnsi="Times New Roman" w:cs="Times New Roman"/>
          <w:sz w:val="24"/>
          <w:szCs w:val="24"/>
        </w:rPr>
        <w:t xml:space="preserve"> odnose na financiranje materijalnih rashoda u iznosu </w:t>
      </w:r>
      <w:r w:rsidR="00980009">
        <w:rPr>
          <w:rFonts w:ascii="Times New Roman" w:hAnsi="Times New Roman" w:cs="Times New Roman"/>
          <w:sz w:val="24"/>
          <w:szCs w:val="24"/>
        </w:rPr>
        <w:t>1.148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EUR. Ova </w:t>
      </w:r>
      <w:r w:rsidR="003D0F2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3D0F25">
        <w:rPr>
          <w:rFonts w:ascii="Times New Roman" w:hAnsi="Times New Roman" w:cs="Times New Roman"/>
          <w:sz w:val="24"/>
          <w:szCs w:val="24"/>
        </w:rPr>
        <w:t>p</w:t>
      </w:r>
      <w:r w:rsidRPr="00DE2EFF">
        <w:rPr>
          <w:rFonts w:ascii="Times New Roman" w:hAnsi="Times New Roman" w:cs="Times New Roman"/>
          <w:sz w:val="24"/>
          <w:szCs w:val="24"/>
        </w:rPr>
        <w:t>odaktivnost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financira iz izvora 52.</w:t>
      </w:r>
    </w:p>
    <w:p w:rsidR="001F73FC" w:rsidRDefault="001F73FC" w:rsidP="00DE2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3FC" w:rsidRDefault="001F73FC" w:rsidP="00DE2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EFF" w:rsidRPr="00DE2EFF" w:rsidRDefault="00DE2EFF" w:rsidP="00DE2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DE2EFF">
        <w:rPr>
          <w:rFonts w:ascii="Times New Roman" w:hAnsi="Times New Roman" w:cs="Times New Roman"/>
          <w:b/>
          <w:sz w:val="24"/>
          <w:szCs w:val="24"/>
        </w:rPr>
        <w:tab/>
        <w:t>Izdavanje znanstvenih udžbenika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U okviru ove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="00980009">
        <w:rPr>
          <w:rFonts w:ascii="Times New Roman" w:hAnsi="Times New Roman" w:cs="Times New Roman"/>
          <w:sz w:val="24"/>
          <w:szCs w:val="24"/>
        </w:rPr>
        <w:t xml:space="preserve"> utrošeno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980009">
        <w:rPr>
          <w:rFonts w:ascii="Times New Roman" w:hAnsi="Times New Roman" w:cs="Times New Roman"/>
          <w:sz w:val="24"/>
          <w:szCs w:val="24"/>
        </w:rPr>
        <w:t>4.983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u 2024. godini za financiranje materijalnih rashoda koji se odnose na usluge tiskanja izdanja udžbenika Fakulteta. </w:t>
      </w:r>
      <w:r w:rsidR="008F7E3F">
        <w:rPr>
          <w:rFonts w:ascii="Times New Roman" w:hAnsi="Times New Roman" w:cs="Times New Roman"/>
          <w:sz w:val="24"/>
          <w:szCs w:val="24"/>
        </w:rPr>
        <w:t>Dobivena</w:t>
      </w:r>
      <w:r w:rsidR="00980009">
        <w:rPr>
          <w:rFonts w:ascii="Times New Roman" w:hAnsi="Times New Roman" w:cs="Times New Roman"/>
          <w:sz w:val="24"/>
          <w:szCs w:val="24"/>
        </w:rPr>
        <w:t xml:space="preserve"> je potpora od MZOM</w:t>
      </w:r>
      <w:r w:rsidR="003D0F25">
        <w:rPr>
          <w:rFonts w:ascii="Times New Roman" w:hAnsi="Times New Roman" w:cs="Times New Roman"/>
          <w:sz w:val="24"/>
          <w:szCs w:val="24"/>
        </w:rPr>
        <w:t>-a</w:t>
      </w:r>
      <w:r w:rsidR="00980009">
        <w:rPr>
          <w:rFonts w:ascii="Times New Roman" w:hAnsi="Times New Roman" w:cs="Times New Roman"/>
          <w:sz w:val="24"/>
          <w:szCs w:val="24"/>
        </w:rPr>
        <w:t xml:space="preserve"> za izdavanje udžbenika </w:t>
      </w:r>
      <w:r w:rsidR="008F7E3F">
        <w:rPr>
          <w:rFonts w:ascii="Times New Roman" w:hAnsi="Times New Roman" w:cs="Times New Roman"/>
          <w:sz w:val="24"/>
          <w:szCs w:val="24"/>
        </w:rPr>
        <w:t>Ekonomika brodarstva i P</w:t>
      </w:r>
      <w:r w:rsidR="008F7E3F" w:rsidRPr="008F7E3F">
        <w:rPr>
          <w:rFonts w:ascii="Times New Roman" w:hAnsi="Times New Roman" w:cs="Times New Roman"/>
          <w:sz w:val="24"/>
          <w:szCs w:val="24"/>
        </w:rPr>
        <w:t>od povećalom interdisciplinarnosti: novi pogledi na neprilagođene engleske riječi u hrvatskome jeziku</w:t>
      </w:r>
      <w:r w:rsidR="008F7E3F">
        <w:rPr>
          <w:rFonts w:ascii="Times New Roman" w:hAnsi="Times New Roman" w:cs="Times New Roman"/>
          <w:sz w:val="24"/>
          <w:szCs w:val="24"/>
        </w:rPr>
        <w:t>.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9.</w:t>
      </w:r>
      <w:r w:rsidRPr="00DE2EFF">
        <w:rPr>
          <w:rFonts w:ascii="Times New Roman" w:hAnsi="Times New Roman" w:cs="Times New Roman"/>
          <w:sz w:val="24"/>
          <w:szCs w:val="24"/>
        </w:rPr>
        <w:tab/>
      </w:r>
      <w:r w:rsidRPr="00DE2EFF">
        <w:rPr>
          <w:rFonts w:ascii="Times New Roman" w:hAnsi="Times New Roman" w:cs="Times New Roman"/>
          <w:b/>
          <w:sz w:val="24"/>
          <w:szCs w:val="24"/>
        </w:rPr>
        <w:t>Izdavanje znanstvenih časopisa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pokriva izdavanje znanstvenog časopisa „Pomorstvo“ i </w:t>
      </w:r>
      <w:r w:rsidR="00980009">
        <w:rPr>
          <w:rFonts w:ascii="Times New Roman" w:hAnsi="Times New Roman" w:cs="Times New Roman"/>
          <w:sz w:val="24"/>
          <w:szCs w:val="24"/>
        </w:rPr>
        <w:t>izvršeni su rashodi u iznosu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980009">
        <w:rPr>
          <w:rFonts w:ascii="Times New Roman" w:hAnsi="Times New Roman" w:cs="Times New Roman"/>
          <w:sz w:val="24"/>
          <w:szCs w:val="24"/>
        </w:rPr>
        <w:t>12.172</w:t>
      </w:r>
      <w:r w:rsidRPr="00DE2EFF">
        <w:rPr>
          <w:rFonts w:ascii="Times New Roman" w:hAnsi="Times New Roman" w:cs="Times New Roman"/>
          <w:sz w:val="24"/>
          <w:szCs w:val="24"/>
        </w:rPr>
        <w:t xml:space="preserve">  EUR. </w:t>
      </w:r>
      <w:r w:rsidR="00980009">
        <w:rPr>
          <w:rFonts w:ascii="Times New Roman" w:hAnsi="Times New Roman" w:cs="Times New Roman"/>
          <w:sz w:val="24"/>
          <w:szCs w:val="24"/>
        </w:rPr>
        <w:t>Rashodi se odnose</w:t>
      </w:r>
      <w:r w:rsidRPr="00DE2EFF">
        <w:rPr>
          <w:rFonts w:ascii="Times New Roman" w:hAnsi="Times New Roman" w:cs="Times New Roman"/>
          <w:sz w:val="24"/>
          <w:szCs w:val="24"/>
        </w:rPr>
        <w:t xml:space="preserve"> na troškove tiskanja i grafičke obrade teksta, te </w:t>
      </w:r>
      <w:r w:rsidR="008F7E3F">
        <w:rPr>
          <w:rFonts w:ascii="Times New Roman" w:hAnsi="Times New Roman" w:cs="Times New Roman"/>
          <w:sz w:val="24"/>
          <w:szCs w:val="24"/>
        </w:rPr>
        <w:t>nabave opreme.</w:t>
      </w:r>
      <w:r w:rsidR="00980009">
        <w:rPr>
          <w:rFonts w:ascii="Times New Roman" w:hAnsi="Times New Roman" w:cs="Times New Roman"/>
          <w:sz w:val="24"/>
          <w:szCs w:val="24"/>
        </w:rPr>
        <w:t xml:space="preserve"> </w:t>
      </w:r>
      <w:r w:rsidRPr="00DE2EFF">
        <w:rPr>
          <w:rFonts w:ascii="Times New Roman" w:hAnsi="Times New Roman" w:cs="Times New Roman"/>
          <w:sz w:val="24"/>
          <w:szCs w:val="24"/>
        </w:rPr>
        <w:t>Ova aktivnost financira se iz izvora  52 jer dio sredstava osigurava nadležno ministarstvo.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1</w:t>
      </w:r>
      <w:r w:rsidR="003D0F25">
        <w:rPr>
          <w:rFonts w:ascii="Times New Roman" w:hAnsi="Times New Roman" w:cs="Times New Roman"/>
          <w:b/>
          <w:sz w:val="24"/>
          <w:szCs w:val="24"/>
        </w:rPr>
        <w:t>0</w:t>
      </w:r>
      <w:r w:rsidRPr="00DE2EFF">
        <w:rPr>
          <w:rFonts w:ascii="Times New Roman" w:hAnsi="Times New Roman" w:cs="Times New Roman"/>
          <w:b/>
          <w:sz w:val="24"/>
          <w:szCs w:val="24"/>
        </w:rPr>
        <w:t>.</w:t>
      </w:r>
      <w:r w:rsidRPr="00DE2EFF">
        <w:rPr>
          <w:rFonts w:ascii="Times New Roman" w:hAnsi="Times New Roman" w:cs="Times New Roman"/>
          <w:b/>
          <w:sz w:val="24"/>
          <w:szCs w:val="24"/>
        </w:rPr>
        <w:tab/>
        <w:t xml:space="preserve">Ostale nespomenute </w:t>
      </w:r>
      <w:proofErr w:type="spellStart"/>
      <w:r w:rsidRPr="00DE2EFF">
        <w:rPr>
          <w:rFonts w:ascii="Times New Roman" w:hAnsi="Times New Roman" w:cs="Times New Roman"/>
          <w:b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>U ostal</w:t>
      </w:r>
      <w:r w:rsidR="00385AB4">
        <w:rPr>
          <w:rFonts w:ascii="Times New Roman" w:hAnsi="Times New Roman" w:cs="Times New Roman"/>
          <w:sz w:val="24"/>
          <w:szCs w:val="24"/>
        </w:rPr>
        <w:t xml:space="preserve">im </w:t>
      </w:r>
      <w:r w:rsidRPr="00DE2EFF">
        <w:rPr>
          <w:rFonts w:ascii="Times New Roman" w:hAnsi="Times New Roman" w:cs="Times New Roman"/>
          <w:sz w:val="24"/>
          <w:szCs w:val="24"/>
        </w:rPr>
        <w:t>nespomenut</w:t>
      </w:r>
      <w:r w:rsidR="00385AB4">
        <w:rPr>
          <w:rFonts w:ascii="Times New Roman" w:hAnsi="Times New Roman" w:cs="Times New Roman"/>
          <w:sz w:val="24"/>
          <w:szCs w:val="24"/>
        </w:rPr>
        <w:t>im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r w:rsidR="00385AB4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3D0F25">
        <w:rPr>
          <w:rFonts w:ascii="Times New Roman" w:hAnsi="Times New Roman" w:cs="Times New Roman"/>
          <w:sz w:val="24"/>
          <w:szCs w:val="24"/>
        </w:rPr>
        <w:t>izvršavaju</w:t>
      </w:r>
      <w:r w:rsidRPr="00DE2EFF">
        <w:rPr>
          <w:rFonts w:ascii="Times New Roman" w:hAnsi="Times New Roman" w:cs="Times New Roman"/>
          <w:sz w:val="24"/>
          <w:szCs w:val="24"/>
        </w:rPr>
        <w:t xml:space="preserve"> se rashodi koji preostanu od prihoda od obavljanja poslova na tržištu i namjenskih prihoda, kao i realizacija sredstava programskih ugovora u slučaju da ih Sveučilište doznači putem izvora 52. </w:t>
      </w:r>
      <w:r w:rsidR="00433BF3">
        <w:rPr>
          <w:rFonts w:ascii="Times New Roman" w:hAnsi="Times New Roman" w:cs="Times New Roman"/>
          <w:sz w:val="24"/>
          <w:szCs w:val="24"/>
        </w:rPr>
        <w:t xml:space="preserve">Unutar ove </w:t>
      </w:r>
      <w:proofErr w:type="spellStart"/>
      <w:r w:rsidR="00433BF3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="00433BF3">
        <w:rPr>
          <w:rFonts w:ascii="Times New Roman" w:hAnsi="Times New Roman" w:cs="Times New Roman"/>
          <w:sz w:val="24"/>
          <w:szCs w:val="24"/>
        </w:rPr>
        <w:t xml:space="preserve"> </w:t>
      </w:r>
      <w:r w:rsidR="0038587E">
        <w:rPr>
          <w:rFonts w:ascii="Times New Roman" w:hAnsi="Times New Roman" w:cs="Times New Roman"/>
          <w:sz w:val="24"/>
          <w:szCs w:val="24"/>
        </w:rPr>
        <w:t xml:space="preserve">izvršeni rashodi iz izvora 12 i 561 predstavljaju preostala sredstva završenih  HKO projekata Pandora i </w:t>
      </w:r>
      <w:proofErr w:type="spellStart"/>
      <w:r w:rsidR="0038587E">
        <w:rPr>
          <w:rFonts w:ascii="Times New Roman" w:hAnsi="Times New Roman" w:cs="Times New Roman"/>
          <w:sz w:val="24"/>
          <w:szCs w:val="24"/>
        </w:rPr>
        <w:t>Medusa</w:t>
      </w:r>
      <w:proofErr w:type="spellEnd"/>
      <w:r w:rsidR="0038587E">
        <w:rPr>
          <w:rFonts w:ascii="Times New Roman" w:hAnsi="Times New Roman" w:cs="Times New Roman"/>
          <w:sz w:val="24"/>
          <w:szCs w:val="24"/>
        </w:rPr>
        <w:t xml:space="preserve"> koji </w:t>
      </w:r>
      <w:r w:rsidR="00433BF3">
        <w:rPr>
          <w:rFonts w:ascii="Times New Roman" w:hAnsi="Times New Roman" w:cs="Times New Roman"/>
          <w:sz w:val="24"/>
          <w:szCs w:val="24"/>
        </w:rPr>
        <w:t xml:space="preserve">su </w:t>
      </w:r>
      <w:r w:rsidR="0038587E">
        <w:rPr>
          <w:rFonts w:ascii="Times New Roman" w:hAnsi="Times New Roman" w:cs="Times New Roman"/>
          <w:sz w:val="24"/>
          <w:szCs w:val="24"/>
        </w:rPr>
        <w:t xml:space="preserve">na početku provođenja bili pred financirani iz vlastitih sredstava. </w:t>
      </w:r>
      <w:r w:rsidRPr="00DE2EFF">
        <w:rPr>
          <w:rFonts w:ascii="Times New Roman" w:hAnsi="Times New Roman" w:cs="Times New Roman"/>
          <w:sz w:val="24"/>
          <w:szCs w:val="24"/>
        </w:rPr>
        <w:t xml:space="preserve">Također, u ovoj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se </w:t>
      </w:r>
      <w:r w:rsidR="003D0F25">
        <w:rPr>
          <w:rFonts w:ascii="Times New Roman" w:hAnsi="Times New Roman" w:cs="Times New Roman"/>
          <w:sz w:val="24"/>
          <w:szCs w:val="24"/>
        </w:rPr>
        <w:t>izvršavaju</w:t>
      </w:r>
      <w:r w:rsidRPr="00DE2EFF">
        <w:rPr>
          <w:rFonts w:ascii="Times New Roman" w:hAnsi="Times New Roman" w:cs="Times New Roman"/>
          <w:sz w:val="24"/>
          <w:szCs w:val="24"/>
        </w:rPr>
        <w:t xml:space="preserve"> rashodi koji se financiraju iz prihoda od prodaje imovine, odnosno izvora 71 (prodaja stanova za zaposlene)</w:t>
      </w:r>
      <w:r w:rsidR="003D0F25">
        <w:rPr>
          <w:rFonts w:ascii="Times New Roman" w:hAnsi="Times New Roman" w:cs="Times New Roman"/>
          <w:sz w:val="24"/>
          <w:szCs w:val="24"/>
        </w:rPr>
        <w:t xml:space="preserve"> kao i</w:t>
      </w:r>
      <w:r w:rsidR="00385AB4">
        <w:rPr>
          <w:rFonts w:ascii="Times New Roman" w:hAnsi="Times New Roman" w:cs="Times New Roman"/>
          <w:sz w:val="24"/>
          <w:szCs w:val="24"/>
        </w:rPr>
        <w:t xml:space="preserve"> od</w:t>
      </w:r>
      <w:r w:rsidR="003D0F25">
        <w:rPr>
          <w:rFonts w:ascii="Times New Roman" w:hAnsi="Times New Roman" w:cs="Times New Roman"/>
          <w:sz w:val="24"/>
          <w:szCs w:val="24"/>
        </w:rPr>
        <w:t xml:space="preserve"> </w:t>
      </w:r>
      <w:r w:rsidR="00385AB4">
        <w:rPr>
          <w:rFonts w:ascii="Times New Roman" w:hAnsi="Times New Roman" w:cs="Times New Roman"/>
          <w:sz w:val="24"/>
          <w:szCs w:val="24"/>
        </w:rPr>
        <w:t>prihoda</w:t>
      </w:r>
      <w:r w:rsidR="003D0F25">
        <w:rPr>
          <w:rFonts w:ascii="Times New Roman" w:hAnsi="Times New Roman" w:cs="Times New Roman"/>
          <w:sz w:val="24"/>
          <w:szCs w:val="24"/>
        </w:rPr>
        <w:t xml:space="preserve"> od donacija od trgovačkih društava za podmirenje troškova redovitog poslovanja</w:t>
      </w:r>
      <w:r w:rsidRPr="00DE2EFF">
        <w:rPr>
          <w:rFonts w:ascii="Times New Roman" w:hAnsi="Times New Roman" w:cs="Times New Roman"/>
          <w:sz w:val="24"/>
          <w:szCs w:val="24"/>
        </w:rPr>
        <w:t xml:space="preserve">. Ukupno je na ovoj </w:t>
      </w:r>
      <w:proofErr w:type="spellStart"/>
      <w:r w:rsidRPr="00DE2EF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653F11">
        <w:rPr>
          <w:rFonts w:ascii="Times New Roman" w:hAnsi="Times New Roman" w:cs="Times New Roman"/>
          <w:sz w:val="24"/>
          <w:szCs w:val="24"/>
        </w:rPr>
        <w:t>izvršeno 728.173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od čega je udio  rashod</w:t>
      </w:r>
      <w:r w:rsidR="00433BF3">
        <w:rPr>
          <w:rFonts w:ascii="Times New Roman" w:hAnsi="Times New Roman" w:cs="Times New Roman"/>
          <w:sz w:val="24"/>
          <w:szCs w:val="24"/>
        </w:rPr>
        <w:t>a</w:t>
      </w:r>
      <w:r w:rsidRPr="00DE2EFF">
        <w:rPr>
          <w:rFonts w:ascii="Times New Roman" w:hAnsi="Times New Roman" w:cs="Times New Roman"/>
          <w:sz w:val="24"/>
          <w:szCs w:val="24"/>
        </w:rPr>
        <w:t xml:space="preserve"> za zaposlene 72,32%.</w:t>
      </w:r>
    </w:p>
    <w:bookmarkEnd w:id="13"/>
    <w:p w:rsidR="00333241" w:rsidRPr="001A5B94" w:rsidRDefault="00333241" w:rsidP="00333241">
      <w:pPr>
        <w:pStyle w:val="Odlomakpopisa"/>
        <w:ind w:left="9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6CE" w:rsidRPr="001A5B94" w:rsidRDefault="008876CE" w:rsidP="008876C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_Hlk53752717"/>
      <w:r w:rsidRPr="001A5B94">
        <w:rPr>
          <w:rFonts w:ascii="Times New Roman" w:hAnsi="Times New Roman" w:cs="Times New Roman"/>
          <w:b/>
          <w:sz w:val="28"/>
          <w:szCs w:val="28"/>
        </w:rPr>
        <w:t>A679072 EU projekti Sveučilišta u Rijeci (iz evidencijskih prihoda)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:rsidTr="00D02775">
        <w:tc>
          <w:tcPr>
            <w:tcW w:w="1643" w:type="dxa"/>
            <w:shd w:val="clear" w:color="auto" w:fill="D0CECE" w:themeFill="background2" w:themeFillShade="E6"/>
          </w:tcPr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58280907"/>
            <w:bookmarkEnd w:id="14"/>
          </w:p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390036" w:rsidRPr="001A5B94" w:rsidTr="00D02775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90036" w:rsidRPr="001A5B94" w:rsidTr="00D02775">
        <w:tc>
          <w:tcPr>
            <w:tcW w:w="1643" w:type="dxa"/>
          </w:tcPr>
          <w:p w:rsidR="00390036" w:rsidRPr="001A5B94" w:rsidRDefault="00390036" w:rsidP="0039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A679072</w:t>
            </w:r>
          </w:p>
        </w:tc>
        <w:tc>
          <w:tcPr>
            <w:tcW w:w="1251" w:type="dxa"/>
          </w:tcPr>
          <w:p w:rsidR="00390036" w:rsidRPr="001A5B94" w:rsidRDefault="005E4C7B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365.829</w:t>
            </w:r>
          </w:p>
        </w:tc>
        <w:tc>
          <w:tcPr>
            <w:tcW w:w="1251" w:type="dxa"/>
          </w:tcPr>
          <w:p w:rsidR="00390036" w:rsidRPr="001A5B94" w:rsidRDefault="005E4C7B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342.781</w:t>
            </w:r>
          </w:p>
        </w:tc>
        <w:tc>
          <w:tcPr>
            <w:tcW w:w="1251" w:type="dxa"/>
          </w:tcPr>
          <w:p w:rsidR="00390036" w:rsidRPr="001A5B94" w:rsidRDefault="005E4C7B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686.488</w:t>
            </w:r>
          </w:p>
        </w:tc>
        <w:tc>
          <w:tcPr>
            <w:tcW w:w="1250" w:type="dxa"/>
          </w:tcPr>
          <w:p w:rsidR="00390036" w:rsidRPr="001A5B94" w:rsidRDefault="005E4C7B" w:rsidP="0039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778.477</w:t>
            </w:r>
          </w:p>
        </w:tc>
        <w:tc>
          <w:tcPr>
            <w:tcW w:w="1251" w:type="dxa"/>
          </w:tcPr>
          <w:p w:rsidR="00390036" w:rsidRPr="001A5B94" w:rsidRDefault="003D0F25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204,60</w:t>
            </w:r>
          </w:p>
        </w:tc>
        <w:tc>
          <w:tcPr>
            <w:tcW w:w="1165" w:type="dxa"/>
          </w:tcPr>
          <w:p w:rsidR="00390036" w:rsidRPr="001A5B94" w:rsidRDefault="003D0F25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113,40</w:t>
            </w:r>
          </w:p>
        </w:tc>
      </w:tr>
    </w:tbl>
    <w:bookmarkEnd w:id="15"/>
    <w:p w:rsidR="001F73FC" w:rsidRPr="001F73FC" w:rsidRDefault="001F73FC" w:rsidP="000D7E3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F73FC">
        <w:rPr>
          <w:rFonts w:ascii="Times New Roman" w:hAnsi="Times New Roman" w:cs="Times New Roman"/>
          <w:sz w:val="24"/>
          <w:szCs w:val="24"/>
        </w:rPr>
        <w:t>Aktivnost EU projek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F73FC">
        <w:rPr>
          <w:rFonts w:ascii="Times New Roman" w:hAnsi="Times New Roman" w:cs="Times New Roman"/>
          <w:sz w:val="24"/>
          <w:szCs w:val="24"/>
        </w:rPr>
        <w:t xml:space="preserve">ta izvršena je 13,40% više u odnosu na tekući plan za 2024. godinu najvećim dijelom kao rezultat doznačenih sredstava po ZNS-u </w:t>
      </w:r>
      <w:r>
        <w:rPr>
          <w:rFonts w:ascii="Times New Roman" w:hAnsi="Times New Roman" w:cs="Times New Roman"/>
          <w:sz w:val="24"/>
          <w:szCs w:val="24"/>
        </w:rPr>
        <w:t xml:space="preserve">za projekt TransH2 </w:t>
      </w:r>
      <w:r w:rsidRPr="001F73FC">
        <w:rPr>
          <w:rFonts w:ascii="Times New Roman" w:hAnsi="Times New Roman" w:cs="Times New Roman"/>
          <w:sz w:val="24"/>
          <w:szCs w:val="24"/>
        </w:rPr>
        <w:t>pristiglih na samom kraju godine</w:t>
      </w:r>
      <w:r>
        <w:rPr>
          <w:rFonts w:ascii="Times New Roman" w:hAnsi="Times New Roman" w:cs="Times New Roman"/>
          <w:sz w:val="24"/>
          <w:szCs w:val="24"/>
        </w:rPr>
        <w:t xml:space="preserve">, temeljem kojih su se sredstva doznačila partnerima na projektu i teretila rashode. </w:t>
      </w:r>
    </w:p>
    <w:p w:rsidR="000D7E33" w:rsidRPr="001A5B94" w:rsidRDefault="000D7E33" w:rsidP="000D7E33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B94">
        <w:rPr>
          <w:rFonts w:ascii="Times New Roman" w:hAnsi="Times New Roman" w:cs="Times New Roman"/>
          <w:i/>
          <w:sz w:val="24"/>
          <w:szCs w:val="24"/>
        </w:rPr>
        <w:t xml:space="preserve">Ova aktivnost sastoji se od </w:t>
      </w:r>
      <w:r w:rsidR="006B3F90" w:rsidRPr="001A5B94">
        <w:rPr>
          <w:rFonts w:ascii="Times New Roman" w:hAnsi="Times New Roman" w:cs="Times New Roman"/>
          <w:i/>
          <w:sz w:val="24"/>
          <w:szCs w:val="24"/>
        </w:rPr>
        <w:t xml:space="preserve">troškova implementacije </w:t>
      </w:r>
      <w:r w:rsidR="00107352" w:rsidRPr="001A5B94">
        <w:rPr>
          <w:rFonts w:ascii="Times New Roman" w:hAnsi="Times New Roman" w:cs="Times New Roman"/>
          <w:i/>
          <w:sz w:val="24"/>
          <w:szCs w:val="24"/>
        </w:rPr>
        <w:t xml:space="preserve">sljedećih </w:t>
      </w:r>
      <w:r w:rsidRPr="001A5B94">
        <w:rPr>
          <w:rFonts w:ascii="Times New Roman" w:hAnsi="Times New Roman" w:cs="Times New Roman"/>
          <w:i/>
          <w:sz w:val="24"/>
          <w:szCs w:val="24"/>
        </w:rPr>
        <w:t xml:space="preserve">EU </w:t>
      </w:r>
      <w:proofErr w:type="spellStart"/>
      <w:r w:rsidR="00B4760A" w:rsidRPr="001A5B94">
        <w:rPr>
          <w:rFonts w:ascii="Times New Roman" w:hAnsi="Times New Roman" w:cs="Times New Roman"/>
          <w:i/>
          <w:sz w:val="24"/>
          <w:szCs w:val="24"/>
        </w:rPr>
        <w:t>pod</w:t>
      </w:r>
      <w:r w:rsidRPr="001A5B94">
        <w:rPr>
          <w:rFonts w:ascii="Times New Roman" w:hAnsi="Times New Roman" w:cs="Times New Roman"/>
          <w:i/>
          <w:sz w:val="24"/>
          <w:szCs w:val="24"/>
        </w:rPr>
        <w:t>projekata</w:t>
      </w:r>
      <w:proofErr w:type="spellEnd"/>
      <w:r w:rsidRPr="001A5B94">
        <w:rPr>
          <w:rFonts w:ascii="Times New Roman" w:hAnsi="Times New Roman" w:cs="Times New Roman"/>
          <w:i/>
          <w:sz w:val="24"/>
          <w:szCs w:val="24"/>
        </w:rPr>
        <w:t>:</w:t>
      </w:r>
    </w:p>
    <w:p w:rsidR="00651EF8" w:rsidRPr="0053393F" w:rsidRDefault="00651EF8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A679072.188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Horizon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Europe)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SafeNav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Safe Navigation </w:t>
      </w:r>
    </w:p>
    <w:p w:rsidR="00651EF8" w:rsidRPr="0053393F" w:rsidRDefault="00651EF8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A679072.175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Horizon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Europe) INNO2MARE - Strengthening the capacity for excellence of Slovenian and Croatian innovation ecosystems to support the digital and green transitions of maritime regions  </w:t>
      </w:r>
      <w:bookmarkStart w:id="16" w:name="_Hlk146621339"/>
    </w:p>
    <w:bookmarkEnd w:id="16"/>
    <w:p w:rsidR="00A132E9" w:rsidRPr="0053393F" w:rsidRDefault="00651EF8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A679072.187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Horizon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Europe)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Healthy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Sailing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Prevention, mitigation, management of infectious diseases on cruise ships and passenger ferries </w:t>
      </w:r>
    </w:p>
    <w:p w:rsidR="00651EF8" w:rsidRPr="0053393F" w:rsidRDefault="00651EF8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</w:t>
      </w:r>
      <w:r w:rsidR="00B644EE"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198</w:t>
      </w:r>
      <w:r w:rsidR="004D27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Horizon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Europe) ATLANTIS – Improved Resilience of Critical Infrastructures Against Large Scale Transnational and Systemic Risks, </w:t>
      </w:r>
    </w:p>
    <w:p w:rsidR="00651EF8" w:rsidRPr="0053393F" w:rsidRDefault="00651EF8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</w:t>
      </w:r>
      <w:r w:rsidR="004D27C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B644EE"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199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53393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EMFAF-2023-BlueCareers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Next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Blue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Generation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651EF8" w:rsidRPr="0053393F" w:rsidRDefault="00651EF8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A679072.</w:t>
      </w:r>
      <w:r w:rsidR="00B644EE"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200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(Erasmus+) UMTMS – The Usage of Multipurpose Tasks in Maritime Simulation </w:t>
      </w:r>
    </w:p>
    <w:p w:rsidR="0053393F" w:rsidRDefault="00651EF8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 </w:t>
      </w:r>
      <w:r w:rsidR="00B644EE"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201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(Erasmus+) MASK - Marine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Robots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Better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Sea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Knowledge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Awareness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53393F" w:rsidRDefault="0053393F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A679072.Novi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podprojekt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DigiMar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Erasmus+)</w:t>
      </w:r>
      <w:r w:rsidRPr="0053393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- Digital Education for Maritime Communication</w:t>
      </w:r>
      <w:bookmarkStart w:id="17" w:name="_Hlk146620192"/>
    </w:p>
    <w:p w:rsidR="0053393F" w:rsidRPr="0053393F" w:rsidRDefault="0053393F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A679072.202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Interreg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Italija Hrvatska) ZEAS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Ferry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demonstrator for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switch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safe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use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sustainable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climate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fuels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Adriatic – Zero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Emission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Adriatic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Ships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bookmarkEnd w:id="17"/>
    <w:p w:rsidR="001744A1" w:rsidRPr="0053393F" w:rsidRDefault="001744A1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 Novi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podprojekt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Interreg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 Med) FRED -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Fire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Free MED</w:t>
      </w:r>
    </w:p>
    <w:p w:rsidR="001744A1" w:rsidRPr="0053393F" w:rsidRDefault="001744A1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 Novi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podprojekt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Interreg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Italija Hrvatska) BEST4.0 (Blue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Economy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Sectors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Digital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Transformation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towards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Industry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4.0)</w:t>
      </w:r>
    </w:p>
    <w:p w:rsidR="001744A1" w:rsidRPr="0053393F" w:rsidRDefault="001744A1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 Novi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podprojekt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Interreg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Italija Hrvatska) TransH2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Transition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Hydrogen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Fuelled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Cross-Border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SeaMobility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1744A1" w:rsidRPr="0053393F" w:rsidRDefault="001744A1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 Novi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podprojekt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Interreg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Italija Hrvatska) TOFOLA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Tourism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Forest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green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Lagoons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Adriatic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through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historical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wooden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boats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B644EE" w:rsidRDefault="001744A1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</w:t>
      </w:r>
      <w:r w:rsidR="004D27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Novi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podprojekt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Interreg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Italija Hrvatska)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PortEMS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Konvergentni IT-OT sustav upravljanja energijom (EMS) za tranziciju lučkih zajednica u pametna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niskougljična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energetska čvorišta - IP.1</w:t>
      </w:r>
      <w:r w:rsidRPr="001744A1">
        <w:t xml:space="preserve"> </w:t>
      </w:r>
    </w:p>
    <w:p w:rsidR="001744A1" w:rsidRPr="0053393F" w:rsidRDefault="00B644EE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 Novi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podprojekt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(Erasmus+) GREENPORT (GREENPORT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Alliances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53393F" w:rsidRDefault="00B644EE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</w:t>
      </w:r>
      <w:r w:rsidR="004D27C2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72.</w:t>
      </w:r>
      <w:r w:rsidR="004D27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Novi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podprojekt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Seafarers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appealing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shore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(Sea4Shore)</w:t>
      </w:r>
    </w:p>
    <w:p w:rsidR="0053393F" w:rsidRPr="0053393F" w:rsidRDefault="0053393F" w:rsidP="0053393F">
      <w:pPr>
        <w:pStyle w:val="Odlomakpopis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</w:t>
      </w:r>
      <w:r w:rsidR="001F73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Novi </w:t>
      </w:r>
      <w:proofErr w:type="spellStart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podprojekt</w:t>
      </w:r>
      <w:proofErr w:type="spellEnd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Program razvoja karijera mladih istraživača-Plan razvoja karijere asistenata (NPOO.C3.2.R2-.1.03.0070)</w:t>
      </w:r>
    </w:p>
    <w:p w:rsidR="00A132E9" w:rsidRPr="0053393F" w:rsidRDefault="00A132E9" w:rsidP="0053393F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644EE" w:rsidRDefault="00B644EE" w:rsidP="00067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6F04" w:rsidRPr="0053393F" w:rsidRDefault="005D6F04" w:rsidP="005D6F0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93F">
        <w:rPr>
          <w:rFonts w:ascii="Times New Roman" w:hAnsi="Times New Roman" w:cs="Times New Roman"/>
          <w:b/>
          <w:sz w:val="24"/>
          <w:szCs w:val="24"/>
        </w:rPr>
        <w:t>K</w:t>
      </w:r>
      <w:r w:rsidR="0053393F" w:rsidRPr="0053393F">
        <w:rPr>
          <w:rFonts w:ascii="Times New Roman" w:hAnsi="Times New Roman" w:cs="Times New Roman"/>
          <w:b/>
          <w:sz w:val="24"/>
          <w:szCs w:val="24"/>
        </w:rPr>
        <w:t>679128</w:t>
      </w:r>
      <w:r w:rsidRPr="00533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3F" w:rsidRPr="0053393F">
        <w:rPr>
          <w:rFonts w:ascii="Times New Roman" w:hAnsi="Times New Roman" w:cs="Times New Roman"/>
          <w:b/>
          <w:sz w:val="24"/>
          <w:szCs w:val="24"/>
        </w:rPr>
        <w:t>POBOLJŠANJE UČINKOVITOSTI JAVNIH ULAGANJA NA PODRUČJU ISTRAŽIVANJA, RAZVOJA I INOVACIJA - NPOO (C3.2.R3)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:rsidTr="00D02775">
        <w:tc>
          <w:tcPr>
            <w:tcW w:w="1643" w:type="dxa"/>
            <w:shd w:val="clear" w:color="auto" w:fill="D0CECE" w:themeFill="background2" w:themeFillShade="E6"/>
          </w:tcPr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415937" w:rsidRPr="001A5B94" w:rsidTr="00D02775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15937" w:rsidRPr="001A5B94" w:rsidTr="00D02775">
        <w:tc>
          <w:tcPr>
            <w:tcW w:w="1643" w:type="dxa"/>
          </w:tcPr>
          <w:p w:rsidR="00415937" w:rsidRPr="001A5B94" w:rsidRDefault="00415937" w:rsidP="0041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D0327">
              <w:rPr>
                <w:rFonts w:ascii="Times New Roman" w:hAnsi="Times New Roman" w:cs="Times New Roman"/>
                <w:sz w:val="24"/>
                <w:szCs w:val="24"/>
              </w:rPr>
              <w:t>679128</w:t>
            </w:r>
          </w:p>
        </w:tc>
        <w:tc>
          <w:tcPr>
            <w:tcW w:w="1251" w:type="dxa"/>
          </w:tcPr>
          <w:p w:rsidR="00415937" w:rsidRPr="001A5B94" w:rsidRDefault="007C6D46" w:rsidP="00415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:rsidR="00415937" w:rsidRPr="001A5B94" w:rsidRDefault="007C6D46" w:rsidP="00415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:rsidR="00415937" w:rsidRPr="001A5B94" w:rsidRDefault="005E4C7B" w:rsidP="00415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7.455</w:t>
            </w:r>
          </w:p>
        </w:tc>
        <w:tc>
          <w:tcPr>
            <w:tcW w:w="1250" w:type="dxa"/>
          </w:tcPr>
          <w:p w:rsidR="00415937" w:rsidRPr="001A5B94" w:rsidRDefault="005E4C7B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26.450</w:t>
            </w:r>
          </w:p>
        </w:tc>
        <w:tc>
          <w:tcPr>
            <w:tcW w:w="1251" w:type="dxa"/>
          </w:tcPr>
          <w:p w:rsidR="00415937" w:rsidRPr="001A5B94" w:rsidRDefault="007C6D46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:rsidR="00415937" w:rsidRPr="001A5B94" w:rsidRDefault="007C6D46" w:rsidP="00415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354,80</w:t>
            </w:r>
          </w:p>
        </w:tc>
      </w:tr>
    </w:tbl>
    <w:p w:rsidR="00CE294B" w:rsidRDefault="00CE294B" w:rsidP="00CE294B">
      <w:pPr>
        <w:tabs>
          <w:tab w:val="left" w:pos="6828"/>
        </w:tabs>
        <w:rPr>
          <w:rFonts w:ascii="Times New Roman" w:hAnsi="Times New Roman" w:cs="Times New Roman"/>
          <w:sz w:val="24"/>
          <w:szCs w:val="24"/>
        </w:rPr>
      </w:pPr>
      <w:r w:rsidRPr="00CE294B">
        <w:rPr>
          <w:rFonts w:ascii="Times New Roman" w:hAnsi="Times New Roman" w:cs="Times New Roman"/>
          <w:sz w:val="24"/>
          <w:szCs w:val="24"/>
        </w:rPr>
        <w:t xml:space="preserve">Ova aktivnost sastoji se od troškova implementacije projekta Dokaz inovativnog koncepta korištenja računalnog vida za detekciju i raspoznavanje plovnih objekata u lukama nautičkog turizma (NPOO.C3.2.R3-I1.01.0124) </w:t>
      </w:r>
    </w:p>
    <w:p w:rsidR="001F73FC" w:rsidRDefault="001F73FC" w:rsidP="00CE294B">
      <w:pPr>
        <w:tabs>
          <w:tab w:val="left" w:pos="68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Više izvršeni rashodi u odnosu na plan rezultat su usklađivanja rebalansa financijskog plana za 2024. godinu od strane nadležnog ministarstva koje je dostavilo rashodovne limite za ovaj izvor i aktivnost.</w:t>
      </w:r>
    </w:p>
    <w:p w:rsidR="00CE294B" w:rsidRPr="001A5B94" w:rsidRDefault="00CE294B" w:rsidP="00CE294B">
      <w:pPr>
        <w:tabs>
          <w:tab w:val="left" w:pos="682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Detaljan prikaz svih aktivnih </w:t>
      </w:r>
      <w:r w:rsidR="00B644EE">
        <w:rPr>
          <w:rFonts w:ascii="Times New Roman" w:hAnsi="Times New Roman" w:cs="Times New Roman"/>
          <w:b/>
          <w:sz w:val="24"/>
          <w:szCs w:val="24"/>
        </w:rPr>
        <w:t xml:space="preserve">EU </w:t>
      </w:r>
      <w:r>
        <w:rPr>
          <w:rFonts w:ascii="Times New Roman" w:hAnsi="Times New Roman" w:cs="Times New Roman"/>
          <w:b/>
          <w:sz w:val="24"/>
          <w:szCs w:val="24"/>
        </w:rPr>
        <w:t xml:space="preserve">projekata iz </w:t>
      </w:r>
      <w:r w:rsidR="00B644EE">
        <w:rPr>
          <w:rFonts w:ascii="Times New Roman" w:hAnsi="Times New Roman" w:cs="Times New Roman"/>
          <w:b/>
          <w:sz w:val="24"/>
          <w:szCs w:val="24"/>
        </w:rPr>
        <w:t xml:space="preserve">posljednje </w:t>
      </w:r>
      <w:r>
        <w:rPr>
          <w:rFonts w:ascii="Times New Roman" w:hAnsi="Times New Roman" w:cs="Times New Roman"/>
          <w:b/>
          <w:sz w:val="24"/>
          <w:szCs w:val="24"/>
        </w:rPr>
        <w:t xml:space="preserve">dvije aktivnosti </w:t>
      </w:r>
      <w:r w:rsidR="00433BF3">
        <w:rPr>
          <w:rFonts w:ascii="Times New Roman" w:hAnsi="Times New Roman" w:cs="Times New Roman"/>
          <w:b/>
          <w:sz w:val="24"/>
          <w:szCs w:val="24"/>
        </w:rPr>
        <w:t>sadržan</w:t>
      </w:r>
      <w:r>
        <w:rPr>
          <w:rFonts w:ascii="Times New Roman" w:hAnsi="Times New Roman" w:cs="Times New Roman"/>
          <w:b/>
          <w:sz w:val="24"/>
          <w:szCs w:val="24"/>
        </w:rPr>
        <w:t xml:space="preserve"> je u Izvještaju o korištenju sredstava fondova Europske unije.</w:t>
      </w:r>
    </w:p>
    <w:p w:rsidR="00415937" w:rsidRPr="00CE294B" w:rsidRDefault="00415937" w:rsidP="00CE2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5937" w:rsidRPr="00CE29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C9D" w:rsidRDefault="001F5C9D">
      <w:pPr>
        <w:spacing w:after="0" w:line="240" w:lineRule="auto"/>
      </w:pPr>
      <w:r>
        <w:separator/>
      </w:r>
    </w:p>
  </w:endnote>
  <w:endnote w:type="continuationSeparator" w:id="0">
    <w:p w:rsidR="001F5C9D" w:rsidRDefault="001F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E97DAE" w:rsidRDefault="00E97DA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97DAE" w:rsidRDefault="00E97DAE">
    <w:pPr>
      <w:pStyle w:val="Podnoje"/>
    </w:pPr>
  </w:p>
  <w:p w:rsidR="000D0327" w:rsidRDefault="000D03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C9D" w:rsidRDefault="001F5C9D">
      <w:pPr>
        <w:spacing w:after="0" w:line="240" w:lineRule="auto"/>
      </w:pPr>
      <w:r>
        <w:separator/>
      </w:r>
    </w:p>
  </w:footnote>
  <w:footnote w:type="continuationSeparator" w:id="0">
    <w:p w:rsidR="001F5C9D" w:rsidRDefault="001F5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32F"/>
    <w:multiLevelType w:val="hybridMultilevel"/>
    <w:tmpl w:val="280A5688"/>
    <w:lvl w:ilvl="0" w:tplc="041A000F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C1D5E1A"/>
    <w:multiLevelType w:val="hybridMultilevel"/>
    <w:tmpl w:val="CB8C3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D75"/>
    <w:multiLevelType w:val="hybridMultilevel"/>
    <w:tmpl w:val="8D36F9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EC6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08AF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5C00"/>
    <w:multiLevelType w:val="hybridMultilevel"/>
    <w:tmpl w:val="5694C5EE"/>
    <w:lvl w:ilvl="0" w:tplc="8108B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650B4"/>
    <w:multiLevelType w:val="hybridMultilevel"/>
    <w:tmpl w:val="25C2E6F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5B41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4EBA"/>
    <w:multiLevelType w:val="hybridMultilevel"/>
    <w:tmpl w:val="79D41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33B8B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C4A71"/>
    <w:multiLevelType w:val="hybridMultilevel"/>
    <w:tmpl w:val="1AF8EE74"/>
    <w:lvl w:ilvl="0" w:tplc="8108B5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31713"/>
    <w:multiLevelType w:val="hybridMultilevel"/>
    <w:tmpl w:val="04F8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022" w:hanging="360"/>
      </w:pPr>
    </w:lvl>
    <w:lvl w:ilvl="4" w:tplc="08090019">
      <w:start w:val="1"/>
      <w:numFmt w:val="lowerLetter"/>
      <w:lvlText w:val="%5."/>
      <w:lvlJc w:val="left"/>
      <w:pPr>
        <w:ind w:left="3742" w:hanging="360"/>
      </w:pPr>
    </w:lvl>
    <w:lvl w:ilvl="5" w:tplc="0809001B">
      <w:start w:val="1"/>
      <w:numFmt w:val="lowerRoman"/>
      <w:lvlText w:val="%6."/>
      <w:lvlJc w:val="right"/>
      <w:pPr>
        <w:ind w:left="4462" w:hanging="180"/>
      </w:pPr>
    </w:lvl>
    <w:lvl w:ilvl="6" w:tplc="0809000F">
      <w:start w:val="1"/>
      <w:numFmt w:val="decimal"/>
      <w:lvlText w:val="%7."/>
      <w:lvlJc w:val="left"/>
      <w:pPr>
        <w:ind w:left="5182" w:hanging="360"/>
      </w:pPr>
    </w:lvl>
    <w:lvl w:ilvl="7" w:tplc="08090019">
      <w:start w:val="1"/>
      <w:numFmt w:val="lowerLetter"/>
      <w:lvlText w:val="%8."/>
      <w:lvlJc w:val="left"/>
      <w:pPr>
        <w:ind w:left="5902" w:hanging="360"/>
      </w:pPr>
    </w:lvl>
    <w:lvl w:ilvl="8" w:tplc="0809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06514E6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15C0"/>
    <w:multiLevelType w:val="hybridMultilevel"/>
    <w:tmpl w:val="731C96A8"/>
    <w:lvl w:ilvl="0" w:tplc="C5BC3B0A">
      <w:start w:val="2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41B7A89"/>
    <w:multiLevelType w:val="hybridMultilevel"/>
    <w:tmpl w:val="7354CC9C"/>
    <w:lvl w:ilvl="0" w:tplc="C5BC3B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1181F"/>
    <w:multiLevelType w:val="hybridMultilevel"/>
    <w:tmpl w:val="1AF8EE74"/>
    <w:lvl w:ilvl="0" w:tplc="8108B5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7A34C8"/>
    <w:multiLevelType w:val="hybridMultilevel"/>
    <w:tmpl w:val="1E644C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6"/>
  </w:num>
  <w:num w:numId="5">
    <w:abstractNumId w:val="2"/>
  </w:num>
  <w:num w:numId="6">
    <w:abstractNumId w:val="3"/>
  </w:num>
  <w:num w:numId="7">
    <w:abstractNumId w:val="9"/>
  </w:num>
  <w:num w:numId="8">
    <w:abstractNumId w:val="20"/>
  </w:num>
  <w:num w:numId="9">
    <w:abstractNumId w:val="21"/>
  </w:num>
  <w:num w:numId="10">
    <w:abstractNumId w:val="13"/>
  </w:num>
  <w:num w:numId="11">
    <w:abstractNumId w:val="14"/>
  </w:num>
  <w:num w:numId="12">
    <w:abstractNumId w:val="5"/>
  </w:num>
  <w:num w:numId="13">
    <w:abstractNumId w:val="12"/>
  </w:num>
  <w:num w:numId="14">
    <w:abstractNumId w:val="1"/>
  </w:num>
  <w:num w:numId="15">
    <w:abstractNumId w:val="22"/>
  </w:num>
  <w:num w:numId="16">
    <w:abstractNumId w:val="17"/>
  </w:num>
  <w:num w:numId="17">
    <w:abstractNumId w:val="23"/>
  </w:num>
  <w:num w:numId="18">
    <w:abstractNumId w:val="6"/>
  </w:num>
  <w:num w:numId="19">
    <w:abstractNumId w:val="8"/>
  </w:num>
  <w:num w:numId="20">
    <w:abstractNumId w:val="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03DF"/>
    <w:rsid w:val="00004CA9"/>
    <w:rsid w:val="00005E2C"/>
    <w:rsid w:val="00010779"/>
    <w:rsid w:val="00067167"/>
    <w:rsid w:val="000A5FB2"/>
    <w:rsid w:val="000B09E7"/>
    <w:rsid w:val="000B2F61"/>
    <w:rsid w:val="000C0866"/>
    <w:rsid w:val="000C2595"/>
    <w:rsid w:val="000C728F"/>
    <w:rsid w:val="000D0327"/>
    <w:rsid w:val="000D147C"/>
    <w:rsid w:val="000D265F"/>
    <w:rsid w:val="000D7E33"/>
    <w:rsid w:val="000E687E"/>
    <w:rsid w:val="00106F8F"/>
    <w:rsid w:val="00107352"/>
    <w:rsid w:val="001149CF"/>
    <w:rsid w:val="001232E3"/>
    <w:rsid w:val="001239D5"/>
    <w:rsid w:val="0012757B"/>
    <w:rsid w:val="00143EBB"/>
    <w:rsid w:val="00150706"/>
    <w:rsid w:val="00154E55"/>
    <w:rsid w:val="001744A1"/>
    <w:rsid w:val="00196F1A"/>
    <w:rsid w:val="001A5B94"/>
    <w:rsid w:val="001B0F7A"/>
    <w:rsid w:val="001C5253"/>
    <w:rsid w:val="001F0A0A"/>
    <w:rsid w:val="001F49F6"/>
    <w:rsid w:val="001F5C9D"/>
    <w:rsid w:val="001F73FC"/>
    <w:rsid w:val="0020157E"/>
    <w:rsid w:val="00205FA4"/>
    <w:rsid w:val="0021091C"/>
    <w:rsid w:val="00220BF7"/>
    <w:rsid w:val="00227D81"/>
    <w:rsid w:val="002337C5"/>
    <w:rsid w:val="002438F0"/>
    <w:rsid w:val="00247B63"/>
    <w:rsid w:val="002559AA"/>
    <w:rsid w:val="0025736E"/>
    <w:rsid w:val="00257E49"/>
    <w:rsid w:val="00262073"/>
    <w:rsid w:val="002632B9"/>
    <w:rsid w:val="00273530"/>
    <w:rsid w:val="00281F8A"/>
    <w:rsid w:val="0028769D"/>
    <w:rsid w:val="002A0785"/>
    <w:rsid w:val="002A14C5"/>
    <w:rsid w:val="002B1794"/>
    <w:rsid w:val="002C7121"/>
    <w:rsid w:val="002D444E"/>
    <w:rsid w:val="002E3DD1"/>
    <w:rsid w:val="002F70E1"/>
    <w:rsid w:val="002F7312"/>
    <w:rsid w:val="00316CB9"/>
    <w:rsid w:val="003239CD"/>
    <w:rsid w:val="00324025"/>
    <w:rsid w:val="0032667E"/>
    <w:rsid w:val="00333241"/>
    <w:rsid w:val="00347DEB"/>
    <w:rsid w:val="00364101"/>
    <w:rsid w:val="0038587E"/>
    <w:rsid w:val="00385AB4"/>
    <w:rsid w:val="00390036"/>
    <w:rsid w:val="003943EC"/>
    <w:rsid w:val="00394775"/>
    <w:rsid w:val="00395B9A"/>
    <w:rsid w:val="003B2CF0"/>
    <w:rsid w:val="003C3F23"/>
    <w:rsid w:val="003D0F25"/>
    <w:rsid w:val="003D590B"/>
    <w:rsid w:val="003E5C41"/>
    <w:rsid w:val="003E6F84"/>
    <w:rsid w:val="003F024D"/>
    <w:rsid w:val="003F3CDB"/>
    <w:rsid w:val="003F704E"/>
    <w:rsid w:val="003F7A62"/>
    <w:rsid w:val="0041323D"/>
    <w:rsid w:val="00415937"/>
    <w:rsid w:val="0043076F"/>
    <w:rsid w:val="00433BF3"/>
    <w:rsid w:val="0043417F"/>
    <w:rsid w:val="004353B1"/>
    <w:rsid w:val="004A4E73"/>
    <w:rsid w:val="004C3A59"/>
    <w:rsid w:val="004D031A"/>
    <w:rsid w:val="004D27C2"/>
    <w:rsid w:val="004D2F71"/>
    <w:rsid w:val="004E02C5"/>
    <w:rsid w:val="004E5F4B"/>
    <w:rsid w:val="004F1024"/>
    <w:rsid w:val="004F26E9"/>
    <w:rsid w:val="00501A04"/>
    <w:rsid w:val="00504B74"/>
    <w:rsid w:val="00506312"/>
    <w:rsid w:val="00516BD2"/>
    <w:rsid w:val="0053393F"/>
    <w:rsid w:val="005344E8"/>
    <w:rsid w:val="00544576"/>
    <w:rsid w:val="005615F2"/>
    <w:rsid w:val="00577E2A"/>
    <w:rsid w:val="00585281"/>
    <w:rsid w:val="00585304"/>
    <w:rsid w:val="005A0ABE"/>
    <w:rsid w:val="005A5310"/>
    <w:rsid w:val="005B6AFA"/>
    <w:rsid w:val="005C471A"/>
    <w:rsid w:val="005D6F04"/>
    <w:rsid w:val="005E4C7B"/>
    <w:rsid w:val="005F2EAE"/>
    <w:rsid w:val="00632874"/>
    <w:rsid w:val="00635D2E"/>
    <w:rsid w:val="006416F9"/>
    <w:rsid w:val="00643E9B"/>
    <w:rsid w:val="00651EF8"/>
    <w:rsid w:val="00653F11"/>
    <w:rsid w:val="0066296C"/>
    <w:rsid w:val="00666AC9"/>
    <w:rsid w:val="0066781D"/>
    <w:rsid w:val="006A146D"/>
    <w:rsid w:val="006B3F90"/>
    <w:rsid w:val="006D02E2"/>
    <w:rsid w:val="0070129B"/>
    <w:rsid w:val="00703212"/>
    <w:rsid w:val="007105A9"/>
    <w:rsid w:val="00731B62"/>
    <w:rsid w:val="0077599B"/>
    <w:rsid w:val="00784427"/>
    <w:rsid w:val="007C41B3"/>
    <w:rsid w:val="007C6D46"/>
    <w:rsid w:val="007D53BD"/>
    <w:rsid w:val="007D6DA5"/>
    <w:rsid w:val="007E668F"/>
    <w:rsid w:val="007E6D3D"/>
    <w:rsid w:val="007F5A3B"/>
    <w:rsid w:val="008018C6"/>
    <w:rsid w:val="00806C5E"/>
    <w:rsid w:val="00811DD1"/>
    <w:rsid w:val="00812941"/>
    <w:rsid w:val="008223B8"/>
    <w:rsid w:val="0084143A"/>
    <w:rsid w:val="0084167B"/>
    <w:rsid w:val="008448FC"/>
    <w:rsid w:val="00845599"/>
    <w:rsid w:val="00846E65"/>
    <w:rsid w:val="008557B2"/>
    <w:rsid w:val="00863014"/>
    <w:rsid w:val="00863153"/>
    <w:rsid w:val="008717CE"/>
    <w:rsid w:val="0087303A"/>
    <w:rsid w:val="008750BD"/>
    <w:rsid w:val="008817B0"/>
    <w:rsid w:val="008876CE"/>
    <w:rsid w:val="00892643"/>
    <w:rsid w:val="008A55E5"/>
    <w:rsid w:val="008C73DF"/>
    <w:rsid w:val="008F7E3F"/>
    <w:rsid w:val="00907355"/>
    <w:rsid w:val="00924A50"/>
    <w:rsid w:val="00935B57"/>
    <w:rsid w:val="0094410C"/>
    <w:rsid w:val="00955A7B"/>
    <w:rsid w:val="009649E2"/>
    <w:rsid w:val="0096781F"/>
    <w:rsid w:val="00975E78"/>
    <w:rsid w:val="00977582"/>
    <w:rsid w:val="00980009"/>
    <w:rsid w:val="009A03EC"/>
    <w:rsid w:val="009A65A8"/>
    <w:rsid w:val="009B0254"/>
    <w:rsid w:val="009E2203"/>
    <w:rsid w:val="009E7A37"/>
    <w:rsid w:val="00A128EB"/>
    <w:rsid w:val="00A132E9"/>
    <w:rsid w:val="00A325CB"/>
    <w:rsid w:val="00A34E14"/>
    <w:rsid w:val="00A41D54"/>
    <w:rsid w:val="00A62724"/>
    <w:rsid w:val="00A637E6"/>
    <w:rsid w:val="00A827DC"/>
    <w:rsid w:val="00A91695"/>
    <w:rsid w:val="00A96F68"/>
    <w:rsid w:val="00AB0246"/>
    <w:rsid w:val="00AD3750"/>
    <w:rsid w:val="00AE035C"/>
    <w:rsid w:val="00AF461D"/>
    <w:rsid w:val="00B06FA1"/>
    <w:rsid w:val="00B13BFD"/>
    <w:rsid w:val="00B165A1"/>
    <w:rsid w:val="00B230F0"/>
    <w:rsid w:val="00B30B87"/>
    <w:rsid w:val="00B37A8E"/>
    <w:rsid w:val="00B43FA5"/>
    <w:rsid w:val="00B4760A"/>
    <w:rsid w:val="00B53F75"/>
    <w:rsid w:val="00B644EE"/>
    <w:rsid w:val="00B64FBB"/>
    <w:rsid w:val="00B7598C"/>
    <w:rsid w:val="00B75E21"/>
    <w:rsid w:val="00B77648"/>
    <w:rsid w:val="00BA46EC"/>
    <w:rsid w:val="00BB0AC9"/>
    <w:rsid w:val="00BB47B9"/>
    <w:rsid w:val="00BB6AE9"/>
    <w:rsid w:val="00BB72A2"/>
    <w:rsid w:val="00BC433E"/>
    <w:rsid w:val="00BD7FDD"/>
    <w:rsid w:val="00BE741E"/>
    <w:rsid w:val="00BF1F14"/>
    <w:rsid w:val="00C03552"/>
    <w:rsid w:val="00C10719"/>
    <w:rsid w:val="00C16900"/>
    <w:rsid w:val="00C45954"/>
    <w:rsid w:val="00C84559"/>
    <w:rsid w:val="00C878F3"/>
    <w:rsid w:val="00C97E87"/>
    <w:rsid w:val="00CA3D88"/>
    <w:rsid w:val="00CA4394"/>
    <w:rsid w:val="00CA4A20"/>
    <w:rsid w:val="00CB0C87"/>
    <w:rsid w:val="00CB39A7"/>
    <w:rsid w:val="00CB764D"/>
    <w:rsid w:val="00CC3933"/>
    <w:rsid w:val="00CD6F16"/>
    <w:rsid w:val="00CE294B"/>
    <w:rsid w:val="00CE5CC3"/>
    <w:rsid w:val="00CF3A75"/>
    <w:rsid w:val="00D008FA"/>
    <w:rsid w:val="00D269E5"/>
    <w:rsid w:val="00D649BB"/>
    <w:rsid w:val="00D7733C"/>
    <w:rsid w:val="00D85134"/>
    <w:rsid w:val="00DA7AFE"/>
    <w:rsid w:val="00DB4A88"/>
    <w:rsid w:val="00DD319D"/>
    <w:rsid w:val="00DE2189"/>
    <w:rsid w:val="00DE2EFF"/>
    <w:rsid w:val="00E03F40"/>
    <w:rsid w:val="00E7493D"/>
    <w:rsid w:val="00E87E4B"/>
    <w:rsid w:val="00E927E4"/>
    <w:rsid w:val="00E97DAE"/>
    <w:rsid w:val="00EA63B0"/>
    <w:rsid w:val="00EB360C"/>
    <w:rsid w:val="00EB5290"/>
    <w:rsid w:val="00ED476D"/>
    <w:rsid w:val="00EF05CF"/>
    <w:rsid w:val="00F02B64"/>
    <w:rsid w:val="00F12286"/>
    <w:rsid w:val="00F13465"/>
    <w:rsid w:val="00F138F6"/>
    <w:rsid w:val="00F31549"/>
    <w:rsid w:val="00F53148"/>
    <w:rsid w:val="00F55A66"/>
    <w:rsid w:val="00F56DF7"/>
    <w:rsid w:val="00F6634B"/>
    <w:rsid w:val="00F815A6"/>
    <w:rsid w:val="00F9754E"/>
    <w:rsid w:val="00FA2CFF"/>
    <w:rsid w:val="00FC0912"/>
    <w:rsid w:val="00FC14A7"/>
    <w:rsid w:val="00FC2CC9"/>
    <w:rsid w:val="00FC428C"/>
    <w:rsid w:val="00FC7CA7"/>
    <w:rsid w:val="00FE153A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08AA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036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5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B2F6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8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6CE"/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6416F9"/>
  </w:style>
  <w:style w:type="character" w:styleId="SlijeenaHiperveza">
    <w:name w:val="FollowedHyperlink"/>
    <w:basedOn w:val="Zadanifontodlomka"/>
    <w:uiPriority w:val="99"/>
    <w:semiHidden/>
    <w:unhideWhenUsed/>
    <w:rsid w:val="005B6AF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DD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651E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7F332-2BEC-41A8-8A89-210D40AB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2026</Words>
  <Characters>11551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Vladimirka Telenta</cp:lastModifiedBy>
  <cp:revision>33</cp:revision>
  <cp:lastPrinted>2025-02-12T11:03:00Z</cp:lastPrinted>
  <dcterms:created xsi:type="dcterms:W3CDTF">2023-12-06T07:31:00Z</dcterms:created>
  <dcterms:modified xsi:type="dcterms:W3CDTF">2025-02-13T11:33:00Z</dcterms:modified>
</cp:coreProperties>
</file>